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A2487" w14:textId="77777777" w:rsidR="00E12F09" w:rsidRPr="00E12F09" w:rsidRDefault="00E12F09" w:rsidP="00CB45F4">
      <w:pPr>
        <w:jc w:val="both"/>
        <w:rPr>
          <w:rFonts w:ascii="Arial" w:hAnsi="Arial" w:cs="Arial"/>
          <w:b/>
          <w:bCs/>
          <w:lang w:val="en-GB"/>
        </w:rPr>
      </w:pPr>
    </w:p>
    <w:p w14:paraId="68082939" w14:textId="77777777" w:rsidR="00A048B6" w:rsidRPr="00A048B6" w:rsidRDefault="00A048B6" w:rsidP="00A048B6">
      <w:pPr>
        <w:jc w:val="center"/>
        <w:rPr>
          <w:rFonts w:ascii="Arial" w:hAnsi="Arial" w:cs="Arial"/>
          <w:b/>
          <w:bCs/>
          <w:lang w:val="en-GB"/>
        </w:rPr>
      </w:pPr>
      <w:r w:rsidRPr="00A048B6">
        <w:rPr>
          <w:rFonts w:ascii="Arial" w:hAnsi="Arial" w:cs="Arial"/>
          <w:b/>
          <w:bCs/>
          <w:lang w:val="en-GB"/>
        </w:rPr>
        <w:t>Answer Key / Model Answers</w:t>
      </w:r>
    </w:p>
    <w:p w14:paraId="1C2250E4" w14:textId="77777777" w:rsidR="00A048B6" w:rsidRPr="00A048B6" w:rsidRDefault="00A048B6" w:rsidP="00A048B6">
      <w:pPr>
        <w:jc w:val="both"/>
        <w:rPr>
          <w:rFonts w:ascii="Arial" w:hAnsi="Arial" w:cs="Arial"/>
          <w:b/>
          <w:bCs/>
          <w:lang w:val="en-GB"/>
        </w:rPr>
      </w:pPr>
      <w:r w:rsidRPr="00A048B6">
        <w:rPr>
          <w:rFonts w:ascii="Arial" w:hAnsi="Arial" w:cs="Arial"/>
          <w:b/>
          <w:bCs/>
          <w:lang w:val="en-GB"/>
        </w:rPr>
        <w:t>Answer 1</w:t>
      </w:r>
    </w:p>
    <w:p w14:paraId="6B8604DB" w14:textId="77777777" w:rsidR="00A048B6" w:rsidRPr="00A048B6" w:rsidRDefault="00A048B6" w:rsidP="00A048B6">
      <w:pPr>
        <w:jc w:val="both"/>
        <w:rPr>
          <w:rFonts w:ascii="Arial" w:hAnsi="Arial" w:cs="Arial"/>
          <w:lang w:val="en-GB"/>
        </w:rPr>
      </w:pPr>
      <w:r w:rsidRPr="00A048B6">
        <w:rPr>
          <w:rFonts w:ascii="Arial" w:hAnsi="Arial" w:cs="Arial"/>
          <w:lang w:val="en-GB"/>
        </w:rPr>
        <w:t>Competition rules for private undertakings (Articles 101 and 102 TFEU) prohibit anticompetitive agreements and abuse of a dominant position.</w:t>
      </w:r>
    </w:p>
    <w:p w14:paraId="0F753116" w14:textId="77777777" w:rsidR="00A048B6" w:rsidRPr="00A048B6" w:rsidRDefault="00A048B6" w:rsidP="00A048B6">
      <w:pPr>
        <w:jc w:val="both"/>
        <w:rPr>
          <w:rFonts w:ascii="Arial" w:hAnsi="Arial" w:cs="Arial"/>
          <w:lang w:val="en-GB"/>
        </w:rPr>
      </w:pPr>
      <w:r w:rsidRPr="00A048B6">
        <w:rPr>
          <w:rFonts w:ascii="Arial" w:hAnsi="Arial" w:cs="Arial"/>
          <w:lang w:val="en-GB"/>
        </w:rPr>
        <w:t>Competition rules for Member States (Articles 106-109 TFEU) regulate State measures affecting competition, including State monopolies and State aid.</w:t>
      </w:r>
    </w:p>
    <w:p w14:paraId="1772AA4A" w14:textId="77777777" w:rsidR="00A90287" w:rsidRPr="00A90287" w:rsidRDefault="00A90287" w:rsidP="00A048B6">
      <w:pPr>
        <w:jc w:val="both"/>
        <w:rPr>
          <w:rFonts w:ascii="Arial" w:hAnsi="Arial" w:cs="Arial"/>
          <w:b/>
          <w:bCs/>
          <w:sz w:val="16"/>
          <w:szCs w:val="16"/>
          <w:lang w:val="en-GB"/>
        </w:rPr>
      </w:pPr>
    </w:p>
    <w:p w14:paraId="04FF0008" w14:textId="4F053FF0" w:rsidR="00A048B6" w:rsidRPr="00A048B6" w:rsidRDefault="00A048B6" w:rsidP="00A048B6">
      <w:pPr>
        <w:jc w:val="both"/>
        <w:rPr>
          <w:rFonts w:ascii="Arial" w:hAnsi="Arial" w:cs="Arial"/>
          <w:b/>
          <w:bCs/>
          <w:lang w:val="en-GB"/>
        </w:rPr>
      </w:pPr>
      <w:r w:rsidRPr="00A048B6">
        <w:rPr>
          <w:rFonts w:ascii="Arial" w:hAnsi="Arial" w:cs="Arial"/>
          <w:b/>
          <w:bCs/>
          <w:lang w:val="en-GB"/>
        </w:rPr>
        <w:t>Answer 2</w:t>
      </w:r>
    </w:p>
    <w:p w14:paraId="45B0E256" w14:textId="77777777" w:rsidR="00A048B6" w:rsidRPr="00A048B6" w:rsidRDefault="00A048B6" w:rsidP="00A048B6">
      <w:pPr>
        <w:jc w:val="both"/>
        <w:rPr>
          <w:rFonts w:ascii="Arial" w:hAnsi="Arial" w:cs="Arial"/>
          <w:lang w:val="en-GB"/>
        </w:rPr>
      </w:pPr>
      <w:r w:rsidRPr="00A048B6">
        <w:rPr>
          <w:rFonts w:ascii="Arial" w:hAnsi="Arial" w:cs="Arial"/>
          <w:lang w:val="en-GB"/>
        </w:rPr>
        <w:t>Correct answer: D</w:t>
      </w:r>
    </w:p>
    <w:p w14:paraId="2DE7D642" w14:textId="77777777" w:rsidR="00A048B6" w:rsidRPr="00A048B6" w:rsidRDefault="00A048B6" w:rsidP="00A048B6">
      <w:pPr>
        <w:jc w:val="both"/>
        <w:rPr>
          <w:rFonts w:ascii="Arial" w:hAnsi="Arial" w:cs="Arial"/>
          <w:lang w:val="en-GB"/>
        </w:rPr>
      </w:pPr>
      <w:r w:rsidRPr="00A048B6">
        <w:rPr>
          <w:rFonts w:ascii="Arial" w:hAnsi="Arial" w:cs="Arial"/>
          <w:lang w:val="en-GB"/>
        </w:rPr>
        <w:t>EU merger control is governed primarily by Council Regulation (EC) No 139/2004, adopted on the basis of Article 103 TFEU.</w:t>
      </w:r>
    </w:p>
    <w:p w14:paraId="62444B95" w14:textId="77777777" w:rsidR="00A90287" w:rsidRPr="00A90287" w:rsidRDefault="00A90287" w:rsidP="00A048B6">
      <w:pPr>
        <w:jc w:val="both"/>
        <w:rPr>
          <w:rFonts w:ascii="Arial" w:hAnsi="Arial" w:cs="Arial"/>
          <w:b/>
          <w:bCs/>
          <w:sz w:val="16"/>
          <w:szCs w:val="16"/>
          <w:lang w:val="en-GB"/>
        </w:rPr>
      </w:pPr>
    </w:p>
    <w:p w14:paraId="2F4B6091" w14:textId="24FB9307" w:rsidR="00A048B6" w:rsidRPr="00A048B6" w:rsidRDefault="00A048B6" w:rsidP="00A048B6">
      <w:pPr>
        <w:jc w:val="both"/>
        <w:rPr>
          <w:rFonts w:ascii="Arial" w:hAnsi="Arial" w:cs="Arial"/>
          <w:b/>
          <w:bCs/>
          <w:lang w:val="en-GB"/>
        </w:rPr>
      </w:pPr>
      <w:r w:rsidRPr="00A048B6">
        <w:rPr>
          <w:rFonts w:ascii="Arial" w:hAnsi="Arial" w:cs="Arial"/>
          <w:b/>
          <w:bCs/>
          <w:lang w:val="en-GB"/>
        </w:rPr>
        <w:t>Answer 3</w:t>
      </w:r>
    </w:p>
    <w:p w14:paraId="79C464C7" w14:textId="77777777" w:rsidR="00A048B6" w:rsidRPr="00A048B6" w:rsidRDefault="00A048B6" w:rsidP="00A048B6">
      <w:pPr>
        <w:jc w:val="both"/>
        <w:rPr>
          <w:rFonts w:ascii="Arial" w:hAnsi="Arial" w:cs="Arial"/>
          <w:lang w:val="en-GB"/>
        </w:rPr>
      </w:pPr>
      <w:r w:rsidRPr="00A048B6">
        <w:rPr>
          <w:rFonts w:ascii="Arial" w:hAnsi="Arial" w:cs="Arial"/>
          <w:lang w:val="en-GB"/>
        </w:rPr>
        <w:t>Correct answer: False</w:t>
      </w:r>
    </w:p>
    <w:p w14:paraId="7E5B18C8" w14:textId="77777777" w:rsidR="00A048B6" w:rsidRPr="00A048B6" w:rsidRDefault="00A048B6" w:rsidP="00A048B6">
      <w:pPr>
        <w:jc w:val="both"/>
        <w:rPr>
          <w:rFonts w:ascii="Arial" w:hAnsi="Arial" w:cs="Arial"/>
          <w:lang w:val="en-GB"/>
        </w:rPr>
      </w:pPr>
      <w:r w:rsidRPr="00A048B6">
        <w:rPr>
          <w:rFonts w:ascii="Arial" w:hAnsi="Arial" w:cs="Arial"/>
          <w:lang w:val="en-GB"/>
        </w:rPr>
        <w:t>Article 107(1) TFEU lays down a general prohibition, but Articles 107(2) and 107(3) TFEU provide automatic and discretionary exceptions allowing certain State aid to be compatible with the internal market.</w:t>
      </w:r>
    </w:p>
    <w:p w14:paraId="3A1ABB72" w14:textId="77777777" w:rsidR="00A90287" w:rsidRPr="00A90287" w:rsidRDefault="00A90287" w:rsidP="00A048B6">
      <w:pPr>
        <w:jc w:val="both"/>
        <w:rPr>
          <w:rFonts w:ascii="Arial" w:hAnsi="Arial" w:cs="Arial"/>
          <w:b/>
          <w:bCs/>
          <w:sz w:val="16"/>
          <w:szCs w:val="16"/>
          <w:lang w:val="en-GB"/>
        </w:rPr>
      </w:pPr>
    </w:p>
    <w:p w14:paraId="363CD7AC" w14:textId="71147D60" w:rsidR="00A048B6" w:rsidRPr="00A048B6" w:rsidRDefault="00A048B6" w:rsidP="00A048B6">
      <w:pPr>
        <w:jc w:val="both"/>
        <w:rPr>
          <w:rFonts w:ascii="Arial" w:hAnsi="Arial" w:cs="Arial"/>
          <w:b/>
          <w:bCs/>
          <w:lang w:val="en-GB"/>
        </w:rPr>
      </w:pPr>
      <w:r w:rsidRPr="00A048B6">
        <w:rPr>
          <w:rFonts w:ascii="Arial" w:hAnsi="Arial" w:cs="Arial"/>
          <w:b/>
          <w:bCs/>
          <w:lang w:val="en-GB"/>
        </w:rPr>
        <w:t>Answer 4</w:t>
      </w:r>
    </w:p>
    <w:p w14:paraId="572ABED8" w14:textId="77777777" w:rsidR="00A048B6" w:rsidRPr="00A048B6" w:rsidRDefault="00A048B6" w:rsidP="00A048B6">
      <w:pPr>
        <w:jc w:val="both"/>
        <w:rPr>
          <w:rFonts w:ascii="Arial" w:hAnsi="Arial" w:cs="Arial"/>
          <w:lang w:val="en-GB"/>
        </w:rPr>
      </w:pPr>
      <w:r w:rsidRPr="00A048B6">
        <w:rPr>
          <w:rFonts w:ascii="Arial" w:hAnsi="Arial" w:cs="Arial"/>
          <w:lang w:val="en-GB"/>
        </w:rPr>
        <w:t>Any two of the following criteria:</w:t>
      </w:r>
    </w:p>
    <w:p w14:paraId="3CBF1E5A" w14:textId="77777777" w:rsidR="00A048B6" w:rsidRDefault="00A048B6" w:rsidP="00A048B6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  <w:lang w:val="en-GB"/>
        </w:rPr>
      </w:pPr>
      <w:r w:rsidRPr="00A048B6">
        <w:rPr>
          <w:rFonts w:ascii="Arial" w:hAnsi="Arial" w:cs="Arial"/>
          <w:lang w:val="en-GB"/>
        </w:rPr>
        <w:t>The measure is granted through State resources</w:t>
      </w:r>
    </w:p>
    <w:p w14:paraId="088C474A" w14:textId="77777777" w:rsidR="00A048B6" w:rsidRDefault="00A048B6" w:rsidP="00A048B6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  <w:lang w:val="en-GB"/>
        </w:rPr>
      </w:pPr>
      <w:r w:rsidRPr="00A048B6">
        <w:rPr>
          <w:rFonts w:ascii="Arial" w:hAnsi="Arial" w:cs="Arial"/>
          <w:lang w:val="en-GB"/>
        </w:rPr>
        <w:t>It confers a selective economic advantage</w:t>
      </w:r>
    </w:p>
    <w:p w14:paraId="2CDF0EF9" w14:textId="77777777" w:rsidR="00A048B6" w:rsidRDefault="00A048B6" w:rsidP="00A048B6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  <w:lang w:val="en-GB"/>
        </w:rPr>
      </w:pPr>
      <w:r w:rsidRPr="00A048B6">
        <w:rPr>
          <w:rFonts w:ascii="Arial" w:hAnsi="Arial" w:cs="Arial"/>
          <w:lang w:val="en-GB"/>
        </w:rPr>
        <w:t>It distorts or threatens to distort competition</w:t>
      </w:r>
    </w:p>
    <w:p w14:paraId="725E94D4" w14:textId="77777777" w:rsidR="00A048B6" w:rsidRDefault="00A048B6" w:rsidP="00A048B6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  <w:lang w:val="en-GB"/>
        </w:rPr>
      </w:pPr>
      <w:r w:rsidRPr="00A048B6">
        <w:rPr>
          <w:rFonts w:ascii="Arial" w:hAnsi="Arial" w:cs="Arial"/>
          <w:lang w:val="en-GB"/>
        </w:rPr>
        <w:t>It affects trade between Member States</w:t>
      </w:r>
    </w:p>
    <w:p w14:paraId="04711A70" w14:textId="77777777" w:rsidR="00A048B6" w:rsidRPr="00BA7700" w:rsidRDefault="00A048B6" w:rsidP="00BA7700">
      <w:pPr>
        <w:jc w:val="both"/>
        <w:rPr>
          <w:rFonts w:ascii="Arial" w:hAnsi="Arial" w:cs="Arial"/>
          <w:lang w:val="en-GB"/>
        </w:rPr>
      </w:pPr>
      <w:r w:rsidRPr="00BA7700">
        <w:rPr>
          <w:rFonts w:ascii="Arial" w:hAnsi="Arial" w:cs="Arial"/>
          <w:lang w:val="en-GB"/>
        </w:rPr>
        <w:t>Possible compatibility grounds include:</w:t>
      </w:r>
    </w:p>
    <w:p w14:paraId="27B128B0" w14:textId="77777777" w:rsidR="00BA7700" w:rsidRDefault="00A048B6" w:rsidP="00A048B6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  <w:lang w:val="en-GB"/>
        </w:rPr>
      </w:pPr>
      <w:r w:rsidRPr="00A048B6">
        <w:rPr>
          <w:rFonts w:ascii="Arial" w:hAnsi="Arial" w:cs="Arial"/>
          <w:lang w:val="en-GB"/>
        </w:rPr>
        <w:t>Rescue and restructuring aid under Article 107(3)(c) TFEU</w:t>
      </w:r>
    </w:p>
    <w:p w14:paraId="7A82A37D" w14:textId="122B7195" w:rsidR="00A048B6" w:rsidRPr="00BA7700" w:rsidRDefault="00A048B6" w:rsidP="00A048B6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  <w:lang w:val="en-GB"/>
        </w:rPr>
      </w:pPr>
      <w:r w:rsidRPr="00BA7700">
        <w:rPr>
          <w:rFonts w:ascii="Arial" w:hAnsi="Arial" w:cs="Arial"/>
          <w:lang w:val="en-GB"/>
        </w:rPr>
        <w:t>Aid to remedy a serious disturbance in the economy of a Member State</w:t>
      </w:r>
    </w:p>
    <w:p w14:paraId="436898B8" w14:textId="77777777" w:rsidR="00A90287" w:rsidRPr="00A90287" w:rsidRDefault="00A90287" w:rsidP="00A048B6">
      <w:pPr>
        <w:jc w:val="both"/>
        <w:rPr>
          <w:rFonts w:ascii="Arial" w:hAnsi="Arial" w:cs="Arial"/>
          <w:b/>
          <w:bCs/>
          <w:sz w:val="16"/>
          <w:szCs w:val="16"/>
          <w:lang w:val="en-GB"/>
        </w:rPr>
      </w:pPr>
    </w:p>
    <w:p w14:paraId="00C6E188" w14:textId="2E95C9B9" w:rsidR="00A048B6" w:rsidRPr="00A048B6" w:rsidRDefault="00A048B6" w:rsidP="00A048B6">
      <w:pPr>
        <w:jc w:val="both"/>
        <w:rPr>
          <w:rFonts w:ascii="Arial" w:hAnsi="Arial" w:cs="Arial"/>
          <w:b/>
          <w:bCs/>
          <w:lang w:val="en-GB"/>
        </w:rPr>
      </w:pPr>
      <w:r w:rsidRPr="00A048B6">
        <w:rPr>
          <w:rFonts w:ascii="Arial" w:hAnsi="Arial" w:cs="Arial"/>
          <w:b/>
          <w:bCs/>
          <w:lang w:val="en-GB"/>
        </w:rPr>
        <w:t>Answer 5</w:t>
      </w:r>
    </w:p>
    <w:p w14:paraId="68C6E044" w14:textId="77777777" w:rsidR="00A048B6" w:rsidRPr="00BA7700" w:rsidRDefault="00A048B6" w:rsidP="00A048B6">
      <w:pPr>
        <w:jc w:val="both"/>
        <w:rPr>
          <w:rFonts w:ascii="Arial" w:hAnsi="Arial" w:cs="Arial"/>
          <w:lang w:val="en-GB"/>
        </w:rPr>
      </w:pPr>
      <w:r w:rsidRPr="00BA7700">
        <w:rPr>
          <w:rFonts w:ascii="Arial" w:hAnsi="Arial" w:cs="Arial"/>
          <w:lang w:val="en-GB"/>
        </w:rPr>
        <w:t>The EMU aims to ensure price stability, a single monetary policy, and coordinated economic governance within the EU.</w:t>
      </w:r>
    </w:p>
    <w:p w14:paraId="309683F2" w14:textId="77777777" w:rsidR="00A048B6" w:rsidRPr="00BA7700" w:rsidRDefault="00A048B6" w:rsidP="00A048B6">
      <w:pPr>
        <w:jc w:val="both"/>
        <w:rPr>
          <w:rFonts w:ascii="Arial" w:hAnsi="Arial" w:cs="Arial"/>
          <w:lang w:val="en-GB"/>
        </w:rPr>
      </w:pPr>
      <w:r w:rsidRPr="00BA7700">
        <w:rPr>
          <w:rFonts w:ascii="Arial" w:hAnsi="Arial" w:cs="Arial"/>
          <w:lang w:val="en-GB"/>
        </w:rPr>
        <w:t>A key legal challenge concerns the balance between monetary policy and economic policy, addressed by the Court of Justice in cases concerning unconventional monetary measures of the European Central Bank.</w:t>
      </w:r>
    </w:p>
    <w:p w14:paraId="06517D40" w14:textId="039FA6F8" w:rsidR="00516BDC" w:rsidRPr="00E12F09" w:rsidRDefault="00516BDC" w:rsidP="006B5A0A">
      <w:pPr>
        <w:jc w:val="both"/>
        <w:rPr>
          <w:rFonts w:ascii="Arial" w:hAnsi="Arial" w:cs="Arial"/>
          <w:lang w:val="en-GB"/>
        </w:rPr>
      </w:pPr>
    </w:p>
    <w:sectPr w:rsidR="00516BDC" w:rsidRPr="00E12F09" w:rsidSect="001C5875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843" w:right="1417" w:bottom="1135" w:left="1417" w:header="708" w:footer="56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E9CD42" w14:textId="77777777" w:rsidR="00274963" w:rsidRDefault="00274963" w:rsidP="00D603FA">
      <w:pPr>
        <w:spacing w:after="0" w:line="240" w:lineRule="auto"/>
      </w:pPr>
      <w:r>
        <w:separator/>
      </w:r>
    </w:p>
  </w:endnote>
  <w:endnote w:type="continuationSeparator" w:id="0">
    <w:p w14:paraId="1EDA657B" w14:textId="77777777" w:rsidR="00274963" w:rsidRDefault="00274963" w:rsidP="00D60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69534058"/>
      <w:docPartObj>
        <w:docPartGallery w:val="Page Numbers (Bottom of Page)"/>
        <w:docPartUnique/>
      </w:docPartObj>
    </w:sdtPr>
    <w:sdtEndPr/>
    <w:sdtContent>
      <w:p w14:paraId="609EBEE0" w14:textId="33F02C49" w:rsidR="007A655D" w:rsidRDefault="007A655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80689A9" w14:textId="77777777" w:rsidR="00D252C3" w:rsidRDefault="00D252C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23647989"/>
      <w:docPartObj>
        <w:docPartGallery w:val="Page Numbers (Bottom of Page)"/>
        <w:docPartUnique/>
      </w:docPartObj>
    </w:sdtPr>
    <w:sdtEndPr/>
    <w:sdtContent>
      <w:tbl>
        <w:tblPr>
          <w:tblStyle w:val="Mkatabulky"/>
          <w:tblW w:w="9351" w:type="dxa"/>
          <w:tblLook w:val="04A0" w:firstRow="1" w:lastRow="0" w:firstColumn="1" w:lastColumn="0" w:noHBand="0" w:noVBand="1"/>
        </w:tblPr>
        <w:tblGrid>
          <w:gridCol w:w="4531"/>
          <w:gridCol w:w="4820"/>
        </w:tblGrid>
        <w:tr w:rsidR="001D5014" w14:paraId="313C67C6" w14:textId="77777777" w:rsidTr="00C15DB8">
          <w:tc>
            <w:tcPr>
              <w:tcW w:w="4531" w:type="dxa"/>
              <w:tcBorders>
                <w:top w:val="nil"/>
                <w:left w:val="nil"/>
                <w:bottom w:val="nil"/>
                <w:right w:val="nil"/>
              </w:tcBorders>
            </w:tcPr>
            <w:p w14:paraId="5F855C0B" w14:textId="47D5C91F" w:rsidR="001D5014" w:rsidRDefault="001821DD" w:rsidP="001821DD">
              <w:pPr>
                <w:rPr>
                  <w:b/>
                  <w:bCs/>
                </w:rPr>
              </w:pPr>
              <w:r>
                <w:tab/>
              </w:r>
              <w:r w:rsidR="001D5014">
                <w:rPr>
                  <w:noProof/>
                </w:rPr>
                <w:drawing>
                  <wp:inline distT="0" distB="0" distL="0" distR="0" wp14:anchorId="3D978D96" wp14:editId="7A1F8396">
                    <wp:extent cx="1227411" cy="429442"/>
                    <wp:effectExtent l="0" t="0" r="0" b="8890"/>
                    <wp:docPr id="913184132" name="Obrázek 5" descr="Obsah obrázku symbol, kruh, snímek obrazovky, Grafika&#10;&#10;Obsah vygenerovaný umělou inteligencí může být nesprávný.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913184132" name="Obrázek 5" descr="Obsah obrázku symbol, kruh, snímek obrazovky, Grafika&#10;&#10;Obsah vygenerovaný umělou inteligencí může být nesprávný."/>
                            <pic:cNvPicPr/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227411" cy="429442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tc>
          <w:tc>
            <w:tcPr>
              <w:tcW w:w="4820" w:type="dxa"/>
              <w:tcBorders>
                <w:top w:val="nil"/>
                <w:left w:val="nil"/>
                <w:bottom w:val="nil"/>
                <w:right w:val="nil"/>
              </w:tcBorders>
            </w:tcPr>
            <w:p w14:paraId="3D67CE8D" w14:textId="47C7A402" w:rsidR="00C278DE" w:rsidRDefault="001D5014" w:rsidP="00957616">
              <w:pPr>
                <w:ind w:left="741"/>
              </w:pPr>
              <w:r w:rsidRPr="001D5014">
                <w:t>ESF+ na UK</w:t>
              </w:r>
            </w:p>
            <w:p w14:paraId="1A28FB46" w14:textId="4074B2E0" w:rsidR="001D5014" w:rsidRDefault="001D5014" w:rsidP="00957616">
              <w:pPr>
                <w:ind w:left="741"/>
                <w:rPr>
                  <w:b/>
                  <w:bCs/>
                </w:rPr>
              </w:pPr>
              <w:r w:rsidRPr="001D5014">
                <w:t>CZ.02.02.XX/00/23_022/0008957</w:t>
              </w:r>
            </w:p>
          </w:tc>
        </w:tr>
      </w:tbl>
      <w:p w14:paraId="18FBA529" w14:textId="5E495BD0" w:rsidR="0015425C" w:rsidRDefault="00274963">
        <w:pPr>
          <w:pStyle w:val="Zpat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A194C7" w14:textId="77777777" w:rsidR="00274963" w:rsidRDefault="00274963" w:rsidP="00D603FA">
      <w:pPr>
        <w:spacing w:after="0" w:line="240" w:lineRule="auto"/>
      </w:pPr>
      <w:r>
        <w:separator/>
      </w:r>
    </w:p>
  </w:footnote>
  <w:footnote w:type="continuationSeparator" w:id="0">
    <w:p w14:paraId="4866E398" w14:textId="77777777" w:rsidR="00274963" w:rsidRDefault="00274963" w:rsidP="00D60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4CB80" w14:textId="2E027510" w:rsidR="00D603FA" w:rsidRPr="00D252C3" w:rsidRDefault="00274963" w:rsidP="00740B5E">
    <w:pPr>
      <w:pStyle w:val="Zhlav"/>
      <w:jc w:val="center"/>
    </w:pPr>
    <w:sdt>
      <w:sdtPr>
        <w:id w:val="-1974972047"/>
        <w:docPartObj>
          <w:docPartGallery w:val="Page Numbers (Margins)"/>
          <w:docPartUnique/>
        </w:docPartObj>
      </w:sdtPr>
      <w:sdtEndPr/>
      <w:sdtContent/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D3165" w14:textId="4C389B95" w:rsidR="00295D67" w:rsidRPr="00295D67" w:rsidRDefault="00BE48EB" w:rsidP="00295D67">
    <w:pPr>
      <w:pStyle w:val="Zhlav"/>
      <w:rPr>
        <w:noProof/>
      </w:rPr>
    </w:pPr>
    <w:r>
      <w:rPr>
        <w:noProof/>
      </w:rPr>
      <w:drawing>
        <wp:inline distT="0" distB="0" distL="0" distR="0" wp14:anchorId="66088DAB" wp14:editId="6FDE6CB4">
          <wp:extent cx="3463963" cy="490651"/>
          <wp:effectExtent l="0" t="0" r="3175" b="5080"/>
          <wp:docPr id="1501701754" name="Obrázek 4" descr="Obsah obrázku text, Písmo, snímek obrazovky, Elektricky modrá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2385970" name="Obrázek 4" descr="Obsah obrázku text, Písmo, snímek obrazovky, Elektricky modrá&#10;&#10;Obsah vygenerovaný umělou inteligencí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84759" cy="4935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D757F">
      <w:rPr>
        <w:noProof/>
      </w:rPr>
      <w:t xml:space="preserve">                             </w:t>
    </w:r>
    <w:r w:rsidR="00295D67" w:rsidRPr="00295D67">
      <w:rPr>
        <w:noProof/>
      </w:rPr>
      <w:drawing>
        <wp:inline distT="0" distB="0" distL="0" distR="0" wp14:anchorId="32B57840" wp14:editId="76D2EFE9">
          <wp:extent cx="1373826" cy="640042"/>
          <wp:effectExtent l="0" t="0" r="0" b="8255"/>
          <wp:docPr id="2031588704" name="Obrázek 2" descr="Obsah obrázku text, Písmo, logo, symbol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1588704" name="Obrázek 2" descr="Obsah obrázku text, Písmo, logo, symbol&#10;&#10;Obsah vygenerovaný umělou inteligencí může být nesprávný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2287" cy="6533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D757F">
      <w:rPr>
        <w:noProof/>
      </w:rPr>
      <w:t xml:space="preserve">               </w:t>
    </w:r>
  </w:p>
  <w:p w14:paraId="390FDAA5" w14:textId="4ABCBC58" w:rsidR="00740B5E" w:rsidRDefault="00740B5E" w:rsidP="00BD757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41365"/>
    <w:multiLevelType w:val="hybridMultilevel"/>
    <w:tmpl w:val="EED0681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8365C5"/>
    <w:multiLevelType w:val="multilevel"/>
    <w:tmpl w:val="F57E7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C22AC7"/>
    <w:multiLevelType w:val="multilevel"/>
    <w:tmpl w:val="8736A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20387D"/>
    <w:multiLevelType w:val="multilevel"/>
    <w:tmpl w:val="4B709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976A2C"/>
    <w:multiLevelType w:val="multilevel"/>
    <w:tmpl w:val="C9E85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030CD5"/>
    <w:multiLevelType w:val="hybridMultilevel"/>
    <w:tmpl w:val="E1923B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6C01D9"/>
    <w:multiLevelType w:val="hybridMultilevel"/>
    <w:tmpl w:val="40F0932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FA4181"/>
    <w:multiLevelType w:val="multilevel"/>
    <w:tmpl w:val="6B0C4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1E13022"/>
    <w:multiLevelType w:val="hybridMultilevel"/>
    <w:tmpl w:val="787809A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2472A6"/>
    <w:multiLevelType w:val="hybridMultilevel"/>
    <w:tmpl w:val="2E4A41C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DC5F85"/>
    <w:multiLevelType w:val="hybridMultilevel"/>
    <w:tmpl w:val="16F4124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3B305B"/>
    <w:multiLevelType w:val="hybridMultilevel"/>
    <w:tmpl w:val="F908725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92228B"/>
    <w:multiLevelType w:val="hybridMultilevel"/>
    <w:tmpl w:val="C06A464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0689678">
    <w:abstractNumId w:val="3"/>
  </w:num>
  <w:num w:numId="2" w16cid:durableId="955215461">
    <w:abstractNumId w:val="4"/>
  </w:num>
  <w:num w:numId="3" w16cid:durableId="1751076289">
    <w:abstractNumId w:val="7"/>
  </w:num>
  <w:num w:numId="4" w16cid:durableId="134489697">
    <w:abstractNumId w:val="2"/>
  </w:num>
  <w:num w:numId="5" w16cid:durableId="1690908874">
    <w:abstractNumId w:val="1"/>
  </w:num>
  <w:num w:numId="6" w16cid:durableId="1196775449">
    <w:abstractNumId w:val="10"/>
  </w:num>
  <w:num w:numId="7" w16cid:durableId="1649556401">
    <w:abstractNumId w:val="8"/>
  </w:num>
  <w:num w:numId="8" w16cid:durableId="862128734">
    <w:abstractNumId w:val="0"/>
  </w:num>
  <w:num w:numId="9" w16cid:durableId="1422800431">
    <w:abstractNumId w:val="12"/>
  </w:num>
  <w:num w:numId="10" w16cid:durableId="1987540109">
    <w:abstractNumId w:val="9"/>
  </w:num>
  <w:num w:numId="11" w16cid:durableId="1403792954">
    <w:abstractNumId w:val="6"/>
  </w:num>
  <w:num w:numId="12" w16cid:durableId="674114205">
    <w:abstractNumId w:val="11"/>
  </w:num>
  <w:num w:numId="13" w16cid:durableId="21122378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C0C"/>
    <w:rsid w:val="00005B5F"/>
    <w:rsid w:val="00014F5C"/>
    <w:rsid w:val="00023A7D"/>
    <w:rsid w:val="000316A4"/>
    <w:rsid w:val="000712D4"/>
    <w:rsid w:val="00072C66"/>
    <w:rsid w:val="000B1F89"/>
    <w:rsid w:val="000E6DDB"/>
    <w:rsid w:val="00104599"/>
    <w:rsid w:val="0015425C"/>
    <w:rsid w:val="001821DD"/>
    <w:rsid w:val="00193ACB"/>
    <w:rsid w:val="00195B2D"/>
    <w:rsid w:val="00197EE3"/>
    <w:rsid w:val="001C5875"/>
    <w:rsid w:val="001D5014"/>
    <w:rsid w:val="001F5613"/>
    <w:rsid w:val="00203BFE"/>
    <w:rsid w:val="002269BF"/>
    <w:rsid w:val="002471AE"/>
    <w:rsid w:val="00274963"/>
    <w:rsid w:val="0027661D"/>
    <w:rsid w:val="00295D67"/>
    <w:rsid w:val="002A1DCA"/>
    <w:rsid w:val="002E2AEB"/>
    <w:rsid w:val="002E4789"/>
    <w:rsid w:val="002E7BA5"/>
    <w:rsid w:val="002F1684"/>
    <w:rsid w:val="002F38A7"/>
    <w:rsid w:val="0033017C"/>
    <w:rsid w:val="00336CF6"/>
    <w:rsid w:val="00347B09"/>
    <w:rsid w:val="00347F8A"/>
    <w:rsid w:val="003543E2"/>
    <w:rsid w:val="00370C20"/>
    <w:rsid w:val="003F6C8E"/>
    <w:rsid w:val="003F7D0B"/>
    <w:rsid w:val="004009D0"/>
    <w:rsid w:val="00402B8E"/>
    <w:rsid w:val="00412C0C"/>
    <w:rsid w:val="00421957"/>
    <w:rsid w:val="004E1575"/>
    <w:rsid w:val="004F49FC"/>
    <w:rsid w:val="00515760"/>
    <w:rsid w:val="00516BDC"/>
    <w:rsid w:val="00556A68"/>
    <w:rsid w:val="0057347B"/>
    <w:rsid w:val="00575F67"/>
    <w:rsid w:val="00592045"/>
    <w:rsid w:val="005D684D"/>
    <w:rsid w:val="006300BD"/>
    <w:rsid w:val="006632C1"/>
    <w:rsid w:val="0066443E"/>
    <w:rsid w:val="00674132"/>
    <w:rsid w:val="00675730"/>
    <w:rsid w:val="006B5A0A"/>
    <w:rsid w:val="006E2E03"/>
    <w:rsid w:val="0070229D"/>
    <w:rsid w:val="007022BA"/>
    <w:rsid w:val="0070382E"/>
    <w:rsid w:val="00722A5C"/>
    <w:rsid w:val="00733E4D"/>
    <w:rsid w:val="0073484C"/>
    <w:rsid w:val="00740859"/>
    <w:rsid w:val="00740B5E"/>
    <w:rsid w:val="00756262"/>
    <w:rsid w:val="007724DB"/>
    <w:rsid w:val="007854E1"/>
    <w:rsid w:val="00792754"/>
    <w:rsid w:val="007A408B"/>
    <w:rsid w:val="007A5E40"/>
    <w:rsid w:val="007A655D"/>
    <w:rsid w:val="007C4E25"/>
    <w:rsid w:val="00807FA6"/>
    <w:rsid w:val="00824116"/>
    <w:rsid w:val="008455C8"/>
    <w:rsid w:val="00891AC4"/>
    <w:rsid w:val="008B79BC"/>
    <w:rsid w:val="008F7F42"/>
    <w:rsid w:val="00932327"/>
    <w:rsid w:val="00937494"/>
    <w:rsid w:val="009508AC"/>
    <w:rsid w:val="00957616"/>
    <w:rsid w:val="00957D19"/>
    <w:rsid w:val="0097055C"/>
    <w:rsid w:val="009728C4"/>
    <w:rsid w:val="00972A17"/>
    <w:rsid w:val="009839B0"/>
    <w:rsid w:val="009A2B09"/>
    <w:rsid w:val="009D46F8"/>
    <w:rsid w:val="00A048B6"/>
    <w:rsid w:val="00A6107D"/>
    <w:rsid w:val="00A90287"/>
    <w:rsid w:val="00A93FA3"/>
    <w:rsid w:val="00AA5161"/>
    <w:rsid w:val="00AB023A"/>
    <w:rsid w:val="00AC4436"/>
    <w:rsid w:val="00B021DF"/>
    <w:rsid w:val="00B16DB4"/>
    <w:rsid w:val="00B45F76"/>
    <w:rsid w:val="00B915E8"/>
    <w:rsid w:val="00BA6346"/>
    <w:rsid w:val="00BA7700"/>
    <w:rsid w:val="00BB6EE4"/>
    <w:rsid w:val="00BC50C7"/>
    <w:rsid w:val="00BD0B15"/>
    <w:rsid w:val="00BD757F"/>
    <w:rsid w:val="00BE48EB"/>
    <w:rsid w:val="00BF14D5"/>
    <w:rsid w:val="00C15DB8"/>
    <w:rsid w:val="00C17380"/>
    <w:rsid w:val="00C278DE"/>
    <w:rsid w:val="00C45B39"/>
    <w:rsid w:val="00C71969"/>
    <w:rsid w:val="00C73F4A"/>
    <w:rsid w:val="00C8474B"/>
    <w:rsid w:val="00C91F77"/>
    <w:rsid w:val="00CB45F4"/>
    <w:rsid w:val="00CF0DE0"/>
    <w:rsid w:val="00D033C5"/>
    <w:rsid w:val="00D10C9A"/>
    <w:rsid w:val="00D252C3"/>
    <w:rsid w:val="00D335A8"/>
    <w:rsid w:val="00D506A7"/>
    <w:rsid w:val="00D56DC5"/>
    <w:rsid w:val="00D603FA"/>
    <w:rsid w:val="00D66436"/>
    <w:rsid w:val="00DA3BEF"/>
    <w:rsid w:val="00DC0D5A"/>
    <w:rsid w:val="00DC5B07"/>
    <w:rsid w:val="00DE1CD2"/>
    <w:rsid w:val="00E12F09"/>
    <w:rsid w:val="00E13788"/>
    <w:rsid w:val="00E30D13"/>
    <w:rsid w:val="00E3412F"/>
    <w:rsid w:val="00EB74C9"/>
    <w:rsid w:val="00ED5CA9"/>
    <w:rsid w:val="00EF1C39"/>
    <w:rsid w:val="00F1592F"/>
    <w:rsid w:val="00F46672"/>
    <w:rsid w:val="00F47FED"/>
    <w:rsid w:val="00F5114C"/>
    <w:rsid w:val="00F67D10"/>
    <w:rsid w:val="00F963F1"/>
    <w:rsid w:val="00FA0960"/>
    <w:rsid w:val="00FA7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6C8737"/>
  <w15:chartTrackingRefBased/>
  <w15:docId w15:val="{617BFDE6-C164-4A21-B67A-BF3899F96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038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73F4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97EE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56DC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60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603FA"/>
  </w:style>
  <w:style w:type="paragraph" w:styleId="Zpat">
    <w:name w:val="footer"/>
    <w:basedOn w:val="Normln"/>
    <w:link w:val="ZpatChar"/>
    <w:uiPriority w:val="99"/>
    <w:unhideWhenUsed/>
    <w:rsid w:val="00D60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603FA"/>
  </w:style>
  <w:style w:type="character" w:customStyle="1" w:styleId="Nadpis1Char">
    <w:name w:val="Nadpis 1 Char"/>
    <w:basedOn w:val="Standardnpsmoodstavce"/>
    <w:link w:val="Nadpis1"/>
    <w:uiPriority w:val="9"/>
    <w:rsid w:val="007038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C73F4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Zstupntext">
    <w:name w:val="Placeholder Text"/>
    <w:basedOn w:val="Standardnpsmoodstavce"/>
    <w:uiPriority w:val="99"/>
    <w:semiHidden/>
    <w:rsid w:val="000B1F89"/>
    <w:rPr>
      <w:color w:val="808080"/>
    </w:rPr>
  </w:style>
  <w:style w:type="paragraph" w:styleId="Normlnweb">
    <w:name w:val="Normal (Web)"/>
    <w:basedOn w:val="Normln"/>
    <w:uiPriority w:val="99"/>
    <w:semiHidden/>
    <w:unhideWhenUsed/>
    <w:rsid w:val="00295D67"/>
    <w:rPr>
      <w:rFonts w:ascii="Times New Roman" w:hAnsi="Times New Roman" w:cs="Times New Roman"/>
      <w:sz w:val="24"/>
      <w:szCs w:val="24"/>
    </w:rPr>
  </w:style>
  <w:style w:type="table" w:styleId="Mkatabulky">
    <w:name w:val="Table Grid"/>
    <w:basedOn w:val="Normlntabulka"/>
    <w:uiPriority w:val="39"/>
    <w:rsid w:val="001D50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semiHidden/>
    <w:rsid w:val="00197EE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CB45F4"/>
    <w:pPr>
      <w:ind w:left="720"/>
      <w:contextualSpacing/>
    </w:pPr>
  </w:style>
  <w:style w:type="character" w:customStyle="1" w:styleId="Nadpis4Char">
    <w:name w:val="Nadpis 4 Char"/>
    <w:basedOn w:val="Standardnpsmoodstavce"/>
    <w:link w:val="Nadpis4"/>
    <w:uiPriority w:val="9"/>
    <w:semiHidden/>
    <w:rsid w:val="00D56DC5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1253AC9DDFFB4EB9FD6B3264826B5A" ma:contentTypeVersion="4" ma:contentTypeDescription="Vytvoří nový dokument" ma:contentTypeScope="" ma:versionID="82000d616822cde83e49a3d4967df78b">
  <xsd:schema xmlns:xsd="http://www.w3.org/2001/XMLSchema" xmlns:xs="http://www.w3.org/2001/XMLSchema" xmlns:p="http://schemas.microsoft.com/office/2006/metadata/properties" xmlns:ns2="62aff434-e629-4e63-96eb-3a617ac1c1ba" targetNamespace="http://schemas.microsoft.com/office/2006/metadata/properties" ma:root="true" ma:fieldsID="2fa3212aac6ddc9aa1f1aa9dd0d2c58e" ns2:_="">
    <xsd:import namespace="62aff434-e629-4e63-96eb-3a617ac1c1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aff434-e629-4e63-96eb-3a617ac1c1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C14C4B3-857A-4D10-9E1E-B5538276CB6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5F34D63-09A3-4CFF-82AE-53DB3F8C8D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aff434-e629-4e63-96eb-3a617ac1c1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DC44AA-A59A-4E1A-A96D-A8B485F14A4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EB293FB-2755-438E-B93B-89E6EBC1759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Geniková</dc:creator>
  <cp:keywords/>
  <dc:description/>
  <cp:lastModifiedBy>Ilona Smotlachová</cp:lastModifiedBy>
  <cp:revision>26</cp:revision>
  <cp:lastPrinted>2025-05-27T13:14:00Z</cp:lastPrinted>
  <dcterms:created xsi:type="dcterms:W3CDTF">2025-12-31T09:55:00Z</dcterms:created>
  <dcterms:modified xsi:type="dcterms:W3CDTF">2026-02-03T14:21:00Z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0x010100251253AC9DDFFB4EB9FD6B3264826B5A</vt:lpwstr>
  </property>
  <property fmtid="{D5CDD505-2E9C-101B-9397-08002B2CF9AE}" pid="3" name="MediaServiceImageTags">
    <vt:lpwstr/>
  </property>
</Properties>
</file>