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7446A2BA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</w:t>
      </w:r>
      <w:r w:rsidR="006B5A0A">
        <w:rPr>
          <w:rFonts w:ascii="Arial" w:hAnsi="Arial" w:cs="Arial"/>
          <w:b/>
          <w:bCs/>
          <w:lang w:val="en-GB"/>
        </w:rPr>
        <w:t>EU Monetary Union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467D9D35" w14:textId="77777777" w:rsidR="006B5A0A" w:rsidRPr="006B5A0A" w:rsidRDefault="006B5A0A" w:rsidP="006B5A0A">
      <w:pPr>
        <w:jc w:val="both"/>
        <w:rPr>
          <w:rFonts w:ascii="Arial" w:hAnsi="Arial" w:cs="Arial"/>
          <w:lang w:val="en-GB"/>
        </w:rPr>
      </w:pPr>
      <w:r w:rsidRPr="006B5A0A">
        <w:rPr>
          <w:rFonts w:ascii="Arial" w:hAnsi="Arial" w:cs="Arial"/>
          <w:lang w:val="en-GB"/>
        </w:rPr>
        <w:t>In their answer, the student should address the following core elements:</w:t>
      </w:r>
    </w:p>
    <w:p w14:paraId="335816E7" w14:textId="77777777" w:rsidR="006B5A0A" w:rsidRDefault="006B5A0A" w:rsidP="006B5A0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 w:rsidRPr="006B5A0A">
        <w:rPr>
          <w:rFonts w:ascii="Arial" w:hAnsi="Arial" w:cs="Arial"/>
          <w:lang w:val="en-GB"/>
        </w:rPr>
        <w:t>Objectives and Institutional Structure of the EMU</w:t>
      </w:r>
    </w:p>
    <w:p w14:paraId="1B9EFD36" w14:textId="77777777" w:rsidR="006B5A0A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6B5A0A">
        <w:rPr>
          <w:rFonts w:ascii="Arial" w:hAnsi="Arial" w:cs="Arial"/>
          <w:lang w:val="en-GB"/>
        </w:rPr>
        <w:t>Identify the objectives of EMU under Articles 119-127 TFEU, including</w:t>
      </w:r>
      <w:r>
        <w:rPr>
          <w:rFonts w:ascii="Arial" w:hAnsi="Arial" w:cs="Arial"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price stability,</w:t>
      </w:r>
      <w:r>
        <w:rPr>
          <w:rFonts w:ascii="Arial" w:hAnsi="Arial" w:cs="Arial"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sound public finances,</w:t>
      </w:r>
      <w:r>
        <w:rPr>
          <w:rFonts w:ascii="Arial" w:hAnsi="Arial" w:cs="Arial"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sustainable economic growth</w:t>
      </w:r>
      <w:r>
        <w:rPr>
          <w:rFonts w:ascii="Arial" w:hAnsi="Arial" w:cs="Arial"/>
          <w:lang w:val="en-GB"/>
        </w:rPr>
        <w:t>.</w:t>
      </w:r>
    </w:p>
    <w:p w14:paraId="65ACC918" w14:textId="77DE3DD0" w:rsidR="006B5A0A" w:rsidRPr="006B5A0A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6B5A0A">
        <w:rPr>
          <w:rFonts w:ascii="Arial" w:hAnsi="Arial" w:cs="Arial"/>
          <w:lang w:val="en-GB"/>
        </w:rPr>
        <w:t>Describe the asymmetric structure of EMU</w:t>
      </w:r>
      <w:r>
        <w:rPr>
          <w:rFonts w:ascii="Arial" w:hAnsi="Arial" w:cs="Arial"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 xml:space="preserve">centralised monetary policy conducted by the ECB and the </w:t>
      </w:r>
      <w:proofErr w:type="spellStart"/>
      <w:r w:rsidRPr="006B5A0A">
        <w:rPr>
          <w:rFonts w:ascii="Arial" w:hAnsi="Arial" w:cs="Arial"/>
          <w:lang w:val="en-GB"/>
        </w:rPr>
        <w:t>Eurosystem</w:t>
      </w:r>
      <w:proofErr w:type="spellEnd"/>
      <w:r>
        <w:rPr>
          <w:rFonts w:ascii="Arial" w:hAnsi="Arial" w:cs="Arial"/>
          <w:lang w:val="en-GB"/>
        </w:rPr>
        <w:t xml:space="preserve">, and the </w:t>
      </w:r>
      <w:r w:rsidRPr="006B5A0A">
        <w:rPr>
          <w:rFonts w:ascii="Arial" w:hAnsi="Arial" w:cs="Arial"/>
          <w:lang w:val="en-GB"/>
        </w:rPr>
        <w:t>decentralised fiscal policy, subject to EU coordination and discipline.</w:t>
      </w:r>
    </w:p>
    <w:p w14:paraId="579B489A" w14:textId="77777777" w:rsidR="00EF1C39" w:rsidRDefault="006B5A0A" w:rsidP="006B5A0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 w:rsidRPr="006B5A0A">
        <w:rPr>
          <w:rFonts w:ascii="Arial" w:hAnsi="Arial" w:cs="Arial"/>
          <w:lang w:val="en-GB"/>
        </w:rPr>
        <w:t>Fiscal Union and the Stability and Growth Pact</w:t>
      </w:r>
    </w:p>
    <w:p w14:paraId="4DD6A3C1" w14:textId="77777777" w:rsid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Explain the principles of fiscal discipline under Articles 121 and 126 TFEU.</w:t>
      </w:r>
    </w:p>
    <w:p w14:paraId="522271C2" w14:textId="77777777" w:rsid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Describe the Stability and Growth Pact, including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preventive and corrective arms</w:t>
      </w:r>
      <w:r w:rsidR="00EF1C39">
        <w:rPr>
          <w:rFonts w:ascii="Arial" w:hAnsi="Arial" w:cs="Arial"/>
          <w:lang w:val="en-GB"/>
        </w:rPr>
        <w:t xml:space="preserve">, </w:t>
      </w:r>
      <w:r w:rsidRPr="00EF1C39">
        <w:rPr>
          <w:rFonts w:ascii="Arial" w:hAnsi="Arial" w:cs="Arial"/>
          <w:lang w:val="en-GB"/>
        </w:rPr>
        <w:t>deficit and debt reference values.</w:t>
      </w:r>
    </w:p>
    <w:p w14:paraId="22F2AEA2" w14:textId="29DB0383" w:rsidR="006B5A0A" w:rsidRP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Mention the role of secondary legislation and enhanced surveillance mechanisms.</w:t>
      </w:r>
    </w:p>
    <w:p w14:paraId="2F96E0E1" w14:textId="77777777" w:rsidR="00EF1C39" w:rsidRDefault="006B5A0A" w:rsidP="006B5A0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Banking Union</w:t>
      </w:r>
    </w:p>
    <w:p w14:paraId="20DE9F29" w14:textId="59BDBE2B" w:rsid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Outline the core elements of the banking union, in particular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centralised supervision,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resolution mechanisms,</w:t>
      </w:r>
      <w:r w:rsidR="00EF1C39">
        <w:rPr>
          <w:rFonts w:ascii="Arial" w:hAnsi="Arial" w:cs="Arial"/>
          <w:lang w:val="en-GB"/>
        </w:rPr>
        <w:t xml:space="preserve"> and </w:t>
      </w:r>
      <w:r w:rsidRPr="00EF1C39">
        <w:rPr>
          <w:rFonts w:ascii="Arial" w:hAnsi="Arial" w:cs="Arial"/>
          <w:lang w:val="en-GB"/>
        </w:rPr>
        <w:t>protection of financial stability in the euro area.</w:t>
      </w:r>
    </w:p>
    <w:p w14:paraId="1EE5C4B9" w14:textId="2C2BA17A" w:rsidR="006B5A0A" w:rsidRP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Emphasise its role as a response to the financial and sovereign debt crises.</w:t>
      </w:r>
    </w:p>
    <w:p w14:paraId="5AD02134" w14:textId="77777777" w:rsidR="00EF1C39" w:rsidRDefault="006B5A0A" w:rsidP="006B5A0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Crisis Measures and the Role of the CJEU</w:t>
      </w:r>
    </w:p>
    <w:p w14:paraId="4A298550" w14:textId="77777777" w:rsid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Case C-370/12 Pringle: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legality of the European Stability Mechanism (ESM),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compatibility with the no-bailout clause (Article 125 TFEU).</w:t>
      </w:r>
    </w:p>
    <w:p w14:paraId="7C5AEBE5" w14:textId="44C6B338" w:rsidR="006B5A0A" w:rsidRP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 xml:space="preserve">Case C-62/14 </w:t>
      </w:r>
      <w:r w:rsidR="00BA405D" w:rsidRPr="00EF1C39">
        <w:rPr>
          <w:rFonts w:ascii="Arial" w:hAnsi="Arial" w:cs="Arial"/>
          <w:lang w:val="en-GB"/>
        </w:rPr>
        <w:t>Gau Weiler</w:t>
      </w:r>
      <w:r w:rsidRPr="00EF1C39">
        <w:rPr>
          <w:rFonts w:ascii="Arial" w:hAnsi="Arial" w:cs="Arial"/>
          <w:lang w:val="en-GB"/>
        </w:rPr>
        <w:t xml:space="preserve"> and Case C-493/17 Weiss: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scope of ECB monetary policy powers</w:t>
      </w:r>
      <w:r w:rsidR="00EF1C39">
        <w:rPr>
          <w:rFonts w:ascii="Arial" w:hAnsi="Arial" w:cs="Arial"/>
          <w:lang w:val="en-GB"/>
        </w:rPr>
        <w:t xml:space="preserve">, the </w:t>
      </w:r>
      <w:r w:rsidRPr="00EF1C39">
        <w:rPr>
          <w:rFonts w:ascii="Arial" w:hAnsi="Arial" w:cs="Arial"/>
          <w:lang w:val="en-GB"/>
        </w:rPr>
        <w:t>distinction between monetary and economic policy,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proportionality review of unconventional monetary instruments.</w:t>
      </w:r>
    </w:p>
    <w:p w14:paraId="5186CE5B" w14:textId="77777777" w:rsidR="00EF1C39" w:rsidRDefault="006B5A0A" w:rsidP="006B5A0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Current Challenges and Reforms</w:t>
      </w:r>
    </w:p>
    <w:p w14:paraId="27A24AD9" w14:textId="77777777" w:rsid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Identify key challenges: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institutional imbalance between monetary and fiscal integration,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democratic accountability,</w:t>
      </w:r>
      <w:r w:rsidR="00EF1C39">
        <w:rPr>
          <w:rFonts w:ascii="Arial" w:hAnsi="Arial" w:cs="Arial"/>
          <w:lang w:val="en-GB"/>
        </w:rPr>
        <w:t xml:space="preserve"> </w:t>
      </w:r>
      <w:r w:rsidRPr="00EF1C39">
        <w:rPr>
          <w:rFonts w:ascii="Arial" w:hAnsi="Arial" w:cs="Arial"/>
          <w:lang w:val="en-GB"/>
        </w:rPr>
        <w:t>economic divergence within the euro area.</w:t>
      </w:r>
    </w:p>
    <w:p w14:paraId="0137018F" w14:textId="00BB2C62" w:rsidR="006B5A0A" w:rsidRP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Briefly assess ongoing debates on reforming EU economic governance.</w:t>
      </w:r>
    </w:p>
    <w:p w14:paraId="682BC532" w14:textId="77777777" w:rsidR="00EF1C39" w:rsidRDefault="006B5A0A" w:rsidP="006B5A0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Conclusion</w:t>
      </w:r>
    </w:p>
    <w:p w14:paraId="353B233A" w14:textId="77777777" w:rsid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Conclude that EMU is a dynamic and evolving framework, shaped by both Treaty law and judicial interpretation.</w:t>
      </w:r>
    </w:p>
    <w:p w14:paraId="4E929D40" w14:textId="761B55B1" w:rsidR="006B5A0A" w:rsidRPr="00EF1C39" w:rsidRDefault="006B5A0A" w:rsidP="006B5A0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lang w:val="en-GB"/>
        </w:rPr>
      </w:pPr>
      <w:r w:rsidRPr="00EF1C39">
        <w:rPr>
          <w:rFonts w:ascii="Arial" w:hAnsi="Arial" w:cs="Arial"/>
          <w:lang w:val="en-GB"/>
        </w:rPr>
        <w:t>Emphasise the role of the CJEU in ensuring legal coherence while allowing flexibility in crisis management.</w:t>
      </w:r>
    </w:p>
    <w:p w14:paraId="04170ECE" w14:textId="6698D857" w:rsidR="006B5A0A" w:rsidRPr="00EF1C39" w:rsidRDefault="006B5A0A" w:rsidP="006B5A0A">
      <w:pPr>
        <w:jc w:val="both"/>
        <w:rPr>
          <w:rFonts w:ascii="Arial" w:hAnsi="Arial" w:cs="Arial"/>
          <w:b/>
          <w:bCs/>
          <w:lang w:val="en-GB"/>
        </w:rPr>
      </w:pPr>
      <w:r w:rsidRPr="00EF1C39">
        <w:rPr>
          <w:rFonts w:ascii="Arial" w:hAnsi="Arial" w:cs="Arial"/>
          <w:b/>
          <w:bCs/>
          <w:lang w:val="en-GB"/>
        </w:rPr>
        <w:t>Assessment note:</w:t>
      </w:r>
      <w:r w:rsidR="00EF1C39">
        <w:rPr>
          <w:rFonts w:ascii="Arial" w:hAnsi="Arial" w:cs="Arial"/>
          <w:b/>
          <w:bCs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There is no single correct answer. Students are assessed on their ability to</w:t>
      </w:r>
      <w:r w:rsidR="00EF1C39">
        <w:rPr>
          <w:rFonts w:ascii="Arial" w:hAnsi="Arial" w:cs="Arial"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correctly describe EMU structures and objectives,</w:t>
      </w:r>
      <w:r w:rsidR="00EF1C39">
        <w:rPr>
          <w:rFonts w:ascii="Arial" w:hAnsi="Arial" w:cs="Arial"/>
          <w:b/>
          <w:bCs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explain fiscal and banking union principles,</w:t>
      </w:r>
      <w:r w:rsidR="00EF1C39">
        <w:rPr>
          <w:rFonts w:ascii="Arial" w:hAnsi="Arial" w:cs="Arial"/>
          <w:b/>
          <w:bCs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analyse key CJEU judgments,</w:t>
      </w:r>
      <w:r w:rsidR="00EF1C39">
        <w:rPr>
          <w:rFonts w:ascii="Arial" w:hAnsi="Arial" w:cs="Arial"/>
          <w:b/>
          <w:bCs/>
          <w:lang w:val="en-GB"/>
        </w:rPr>
        <w:t xml:space="preserve"> </w:t>
      </w:r>
      <w:r w:rsidRPr="006B5A0A">
        <w:rPr>
          <w:rFonts w:ascii="Arial" w:hAnsi="Arial" w:cs="Arial"/>
          <w:lang w:val="en-GB"/>
        </w:rPr>
        <w:t>present a structured and legally coherent argument.</w:t>
      </w:r>
    </w:p>
    <w:p w14:paraId="06517D40" w14:textId="039FA6F8" w:rsidR="00516BDC" w:rsidRPr="00E12F09" w:rsidRDefault="00516BDC" w:rsidP="006B5A0A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7BB5" w14:textId="77777777" w:rsidR="00B25C40" w:rsidRDefault="00B25C40" w:rsidP="00D603FA">
      <w:pPr>
        <w:spacing w:after="0" w:line="240" w:lineRule="auto"/>
      </w:pPr>
      <w:r>
        <w:separator/>
      </w:r>
    </w:p>
  </w:endnote>
  <w:endnote w:type="continuationSeparator" w:id="0">
    <w:p w14:paraId="37693D88" w14:textId="77777777" w:rsidR="00B25C40" w:rsidRDefault="00B25C40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B8AB" w14:textId="77777777" w:rsidR="00B25C40" w:rsidRDefault="00B25C40" w:rsidP="00D603FA">
      <w:pPr>
        <w:spacing w:after="0" w:line="240" w:lineRule="auto"/>
      </w:pPr>
      <w:r>
        <w:separator/>
      </w:r>
    </w:p>
  </w:footnote>
  <w:footnote w:type="continuationSeparator" w:id="0">
    <w:p w14:paraId="5F3D4DD0" w14:textId="77777777" w:rsidR="00B25C40" w:rsidRDefault="00B25C40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000000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65"/>
    <w:multiLevelType w:val="hybridMultilevel"/>
    <w:tmpl w:val="EED06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C01D9"/>
    <w:multiLevelType w:val="hybridMultilevel"/>
    <w:tmpl w:val="40F093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472A6"/>
    <w:multiLevelType w:val="hybridMultilevel"/>
    <w:tmpl w:val="2E4A4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B305B"/>
    <w:multiLevelType w:val="hybridMultilevel"/>
    <w:tmpl w:val="F90872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2228B"/>
    <w:multiLevelType w:val="hybridMultilevel"/>
    <w:tmpl w:val="C06A4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3"/>
  </w:num>
  <w:num w:numId="2" w16cid:durableId="955215461">
    <w:abstractNumId w:val="4"/>
  </w:num>
  <w:num w:numId="3" w16cid:durableId="1751076289">
    <w:abstractNumId w:val="6"/>
  </w:num>
  <w:num w:numId="4" w16cid:durableId="134489697">
    <w:abstractNumId w:val="2"/>
  </w:num>
  <w:num w:numId="5" w16cid:durableId="1690908874">
    <w:abstractNumId w:val="1"/>
  </w:num>
  <w:num w:numId="6" w16cid:durableId="1196775449">
    <w:abstractNumId w:val="9"/>
  </w:num>
  <w:num w:numId="7" w16cid:durableId="1649556401">
    <w:abstractNumId w:val="7"/>
  </w:num>
  <w:num w:numId="8" w16cid:durableId="862128734">
    <w:abstractNumId w:val="0"/>
  </w:num>
  <w:num w:numId="9" w16cid:durableId="1422800431">
    <w:abstractNumId w:val="11"/>
  </w:num>
  <w:num w:numId="10" w16cid:durableId="1987540109">
    <w:abstractNumId w:val="8"/>
  </w:num>
  <w:num w:numId="11" w16cid:durableId="1403792954">
    <w:abstractNumId w:val="5"/>
  </w:num>
  <w:num w:numId="12" w16cid:durableId="674114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316A4"/>
    <w:rsid w:val="000712D4"/>
    <w:rsid w:val="00072C66"/>
    <w:rsid w:val="000B1F89"/>
    <w:rsid w:val="000E6DDB"/>
    <w:rsid w:val="00104599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E2AEB"/>
    <w:rsid w:val="002E4789"/>
    <w:rsid w:val="002E7BA5"/>
    <w:rsid w:val="002F1684"/>
    <w:rsid w:val="002F38A7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E1575"/>
    <w:rsid w:val="00515760"/>
    <w:rsid w:val="00516BDC"/>
    <w:rsid w:val="00556A68"/>
    <w:rsid w:val="0057347B"/>
    <w:rsid w:val="00575F67"/>
    <w:rsid w:val="00592045"/>
    <w:rsid w:val="005D684D"/>
    <w:rsid w:val="006300BD"/>
    <w:rsid w:val="006632C1"/>
    <w:rsid w:val="0066443E"/>
    <w:rsid w:val="00674132"/>
    <w:rsid w:val="00675730"/>
    <w:rsid w:val="006B5A0A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6262"/>
    <w:rsid w:val="007724DB"/>
    <w:rsid w:val="00792754"/>
    <w:rsid w:val="007A408B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08AC"/>
    <w:rsid w:val="00957616"/>
    <w:rsid w:val="00957D19"/>
    <w:rsid w:val="0097055C"/>
    <w:rsid w:val="009728C4"/>
    <w:rsid w:val="00972A17"/>
    <w:rsid w:val="009839B0"/>
    <w:rsid w:val="009A2B09"/>
    <w:rsid w:val="009D46F8"/>
    <w:rsid w:val="00A335B6"/>
    <w:rsid w:val="00A6107D"/>
    <w:rsid w:val="00A93FA3"/>
    <w:rsid w:val="00AA5161"/>
    <w:rsid w:val="00AB023A"/>
    <w:rsid w:val="00AC4436"/>
    <w:rsid w:val="00B021DF"/>
    <w:rsid w:val="00B25C40"/>
    <w:rsid w:val="00B45F76"/>
    <w:rsid w:val="00B915E8"/>
    <w:rsid w:val="00BA405D"/>
    <w:rsid w:val="00BA6346"/>
    <w:rsid w:val="00BB6EE4"/>
    <w:rsid w:val="00BC50C7"/>
    <w:rsid w:val="00BD0B15"/>
    <w:rsid w:val="00BD757F"/>
    <w:rsid w:val="00BE48EB"/>
    <w:rsid w:val="00BF14D5"/>
    <w:rsid w:val="00C15DB8"/>
    <w:rsid w:val="00C17380"/>
    <w:rsid w:val="00C278DE"/>
    <w:rsid w:val="00C45B39"/>
    <w:rsid w:val="00C71969"/>
    <w:rsid w:val="00C73F4A"/>
    <w:rsid w:val="00C8474B"/>
    <w:rsid w:val="00C91F77"/>
    <w:rsid w:val="00CB45F4"/>
    <w:rsid w:val="00CF0DE0"/>
    <w:rsid w:val="00D033C5"/>
    <w:rsid w:val="00D10C9A"/>
    <w:rsid w:val="00D252C3"/>
    <w:rsid w:val="00D335A8"/>
    <w:rsid w:val="00D506A7"/>
    <w:rsid w:val="00D56DC5"/>
    <w:rsid w:val="00D603FA"/>
    <w:rsid w:val="00D66436"/>
    <w:rsid w:val="00DA3BEF"/>
    <w:rsid w:val="00DC0D5A"/>
    <w:rsid w:val="00DC5B07"/>
    <w:rsid w:val="00DE1CD2"/>
    <w:rsid w:val="00E12F09"/>
    <w:rsid w:val="00E13788"/>
    <w:rsid w:val="00E30D13"/>
    <w:rsid w:val="00E3412F"/>
    <w:rsid w:val="00EB74C9"/>
    <w:rsid w:val="00ED5CA9"/>
    <w:rsid w:val="00EF1C3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56DC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23</cp:revision>
  <cp:lastPrinted>2025-05-27T13:14:00Z</cp:lastPrinted>
  <dcterms:created xsi:type="dcterms:W3CDTF">2025-12-31T09:55:00Z</dcterms:created>
  <dcterms:modified xsi:type="dcterms:W3CDTF">2026-02-02T12:17:00Z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