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A2487" w14:textId="77777777" w:rsidR="00E12F09" w:rsidRPr="00E12F09" w:rsidRDefault="00E12F09" w:rsidP="00CB45F4">
      <w:pPr>
        <w:jc w:val="both"/>
        <w:rPr>
          <w:rFonts w:ascii="Arial" w:hAnsi="Arial" w:cs="Arial"/>
          <w:b/>
          <w:bCs/>
          <w:lang w:val="en-GB"/>
        </w:rPr>
      </w:pPr>
    </w:p>
    <w:p w14:paraId="788EFD6A" w14:textId="653EF06F" w:rsidR="00197EE3" w:rsidRPr="00E12F09" w:rsidRDefault="00197EE3" w:rsidP="00CB45F4">
      <w:pPr>
        <w:jc w:val="center"/>
        <w:rPr>
          <w:rFonts w:ascii="Arial" w:hAnsi="Arial" w:cs="Arial"/>
          <w:b/>
          <w:bCs/>
          <w:lang w:val="en-GB"/>
        </w:rPr>
      </w:pPr>
      <w:r w:rsidRPr="00E12F09">
        <w:rPr>
          <w:rFonts w:ascii="Arial" w:hAnsi="Arial" w:cs="Arial"/>
          <w:b/>
          <w:bCs/>
          <w:lang w:val="en-GB"/>
        </w:rPr>
        <w:t xml:space="preserve">Answer Key – </w:t>
      </w:r>
      <w:r w:rsidR="002E3EB0">
        <w:rPr>
          <w:rFonts w:ascii="Arial" w:hAnsi="Arial" w:cs="Arial"/>
          <w:b/>
          <w:bCs/>
          <w:lang w:val="en-GB"/>
        </w:rPr>
        <w:t>Competition Law I</w:t>
      </w:r>
      <w:r w:rsidRPr="00E12F09">
        <w:rPr>
          <w:rFonts w:ascii="Arial" w:hAnsi="Arial" w:cs="Arial"/>
          <w:b/>
          <w:bCs/>
          <w:lang w:val="en-GB"/>
        </w:rPr>
        <w:t xml:space="preserve"> (Indicative)</w:t>
      </w:r>
    </w:p>
    <w:p w14:paraId="42D48904" w14:textId="0BDE22A1" w:rsidR="002F38A7" w:rsidRPr="002F38A7" w:rsidRDefault="00D56DC5" w:rsidP="002F38A7">
      <w:pPr>
        <w:jc w:val="both"/>
        <w:rPr>
          <w:rFonts w:ascii="Arial" w:hAnsi="Arial" w:cs="Arial"/>
          <w:lang w:val="en-GB"/>
        </w:rPr>
      </w:pPr>
      <w:r w:rsidRPr="00D56DC5">
        <w:rPr>
          <w:rFonts w:ascii="Arial" w:hAnsi="Arial" w:cs="Arial"/>
          <w:lang w:val="en-GB"/>
        </w:rPr>
        <w:t xml:space="preserve">In </w:t>
      </w:r>
      <w:r w:rsidR="002F38A7" w:rsidRPr="002F38A7">
        <w:rPr>
          <w:rFonts w:ascii="Arial" w:hAnsi="Arial" w:cs="Arial"/>
          <w:lang w:val="en-GB"/>
        </w:rPr>
        <w:t>their answer, the student should address the following elements in a structured and legally reasoned manner:</w:t>
      </w:r>
    </w:p>
    <w:p w14:paraId="4376AD3D" w14:textId="77777777" w:rsidR="002F38A7" w:rsidRDefault="002F38A7" w:rsidP="002F38A7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lang w:val="en-GB"/>
        </w:rPr>
      </w:pPr>
      <w:r w:rsidRPr="002F38A7">
        <w:rPr>
          <w:rFonts w:ascii="Arial" w:hAnsi="Arial" w:cs="Arial"/>
          <w:lang w:val="en-GB"/>
        </w:rPr>
        <w:t>Concept, Objectives, and Legal Basis of EU Competition Law</w:t>
      </w:r>
    </w:p>
    <w:p w14:paraId="176DE604" w14:textId="77777777" w:rsidR="002F38A7" w:rsidRDefault="002F38A7" w:rsidP="002F38A7">
      <w:pPr>
        <w:pStyle w:val="Odstavecseseznamem"/>
        <w:numPr>
          <w:ilvl w:val="1"/>
          <w:numId w:val="10"/>
        </w:numPr>
        <w:jc w:val="both"/>
        <w:rPr>
          <w:rFonts w:ascii="Arial" w:hAnsi="Arial" w:cs="Arial"/>
          <w:lang w:val="en-GB"/>
        </w:rPr>
      </w:pPr>
      <w:r w:rsidRPr="002F38A7">
        <w:rPr>
          <w:rFonts w:ascii="Arial" w:hAnsi="Arial" w:cs="Arial"/>
          <w:lang w:val="en-GB"/>
        </w:rPr>
        <w:t>Define EU competition law as a core component of the EU internal market aimed at ensuring effective and undistorted competition.</w:t>
      </w:r>
    </w:p>
    <w:p w14:paraId="2B018C0D" w14:textId="77777777" w:rsidR="002F38A7" w:rsidRDefault="002F38A7" w:rsidP="002F38A7">
      <w:pPr>
        <w:pStyle w:val="Odstavecseseznamem"/>
        <w:numPr>
          <w:ilvl w:val="1"/>
          <w:numId w:val="10"/>
        </w:numPr>
        <w:jc w:val="both"/>
        <w:rPr>
          <w:rFonts w:ascii="Arial" w:hAnsi="Arial" w:cs="Arial"/>
          <w:lang w:val="en-GB"/>
        </w:rPr>
      </w:pPr>
      <w:r w:rsidRPr="002F38A7">
        <w:rPr>
          <w:rFonts w:ascii="Arial" w:hAnsi="Arial" w:cs="Arial"/>
          <w:lang w:val="en-GB"/>
        </w:rPr>
        <w:t>Refer to Article 3(1)(b) TFEU, establishing competition rules as an exclusive EU competence necessary for the functioning of the internal market.</w:t>
      </w:r>
    </w:p>
    <w:p w14:paraId="238FCA30" w14:textId="3E39471E" w:rsidR="002F38A7" w:rsidRDefault="002F38A7" w:rsidP="002F38A7">
      <w:pPr>
        <w:pStyle w:val="Odstavecseseznamem"/>
        <w:numPr>
          <w:ilvl w:val="1"/>
          <w:numId w:val="10"/>
        </w:numPr>
        <w:jc w:val="both"/>
        <w:rPr>
          <w:rFonts w:ascii="Arial" w:hAnsi="Arial" w:cs="Arial"/>
          <w:lang w:val="en-GB"/>
        </w:rPr>
      </w:pPr>
      <w:r w:rsidRPr="002F38A7">
        <w:rPr>
          <w:rFonts w:ascii="Arial" w:hAnsi="Arial" w:cs="Arial"/>
          <w:lang w:val="en-GB"/>
        </w:rPr>
        <w:t>Identify the main objectives:</w:t>
      </w:r>
      <w:r>
        <w:rPr>
          <w:rFonts w:ascii="Arial" w:hAnsi="Arial" w:cs="Arial"/>
          <w:lang w:val="en-GB"/>
        </w:rPr>
        <w:t xml:space="preserve"> </w:t>
      </w:r>
      <w:r w:rsidRPr="002F38A7">
        <w:rPr>
          <w:rFonts w:ascii="Arial" w:hAnsi="Arial" w:cs="Arial"/>
          <w:lang w:val="en-GB"/>
        </w:rPr>
        <w:t>consumer welfare,</w:t>
      </w:r>
      <w:r>
        <w:rPr>
          <w:rFonts w:ascii="Arial" w:hAnsi="Arial" w:cs="Arial"/>
          <w:lang w:val="en-GB"/>
        </w:rPr>
        <w:t xml:space="preserve"> </w:t>
      </w:r>
      <w:r w:rsidRPr="002F38A7">
        <w:rPr>
          <w:rFonts w:ascii="Arial" w:hAnsi="Arial" w:cs="Arial"/>
          <w:lang w:val="en-GB"/>
        </w:rPr>
        <w:t>market integration,</w:t>
      </w:r>
      <w:r>
        <w:rPr>
          <w:rFonts w:ascii="Arial" w:hAnsi="Arial" w:cs="Arial"/>
          <w:lang w:val="en-GB"/>
        </w:rPr>
        <w:t xml:space="preserve"> </w:t>
      </w:r>
      <w:r w:rsidRPr="002F38A7">
        <w:rPr>
          <w:rFonts w:ascii="Arial" w:hAnsi="Arial" w:cs="Arial"/>
          <w:lang w:val="en-GB"/>
        </w:rPr>
        <w:t>economic efficiency,</w:t>
      </w:r>
      <w:r>
        <w:rPr>
          <w:rFonts w:ascii="Arial" w:hAnsi="Arial" w:cs="Arial"/>
          <w:lang w:val="en-GB"/>
        </w:rPr>
        <w:t xml:space="preserve"> and </w:t>
      </w:r>
      <w:r w:rsidRPr="002F38A7">
        <w:rPr>
          <w:rFonts w:ascii="Arial" w:hAnsi="Arial" w:cs="Arial"/>
          <w:lang w:val="en-GB"/>
        </w:rPr>
        <w:t>prevention of market power distortions.</w:t>
      </w:r>
    </w:p>
    <w:p w14:paraId="5DF1C033" w14:textId="004AE88D" w:rsidR="002F38A7" w:rsidRPr="002F38A7" w:rsidRDefault="002F38A7" w:rsidP="002F38A7">
      <w:pPr>
        <w:pStyle w:val="Odstavecseseznamem"/>
        <w:numPr>
          <w:ilvl w:val="1"/>
          <w:numId w:val="10"/>
        </w:numPr>
        <w:jc w:val="both"/>
        <w:rPr>
          <w:rFonts w:ascii="Arial" w:hAnsi="Arial" w:cs="Arial"/>
          <w:lang w:val="en-GB"/>
        </w:rPr>
      </w:pPr>
      <w:r w:rsidRPr="002F38A7">
        <w:rPr>
          <w:rFonts w:ascii="Arial" w:hAnsi="Arial" w:cs="Arial"/>
          <w:lang w:val="en-GB"/>
        </w:rPr>
        <w:t>Emphasise the central role of Articles 101 and 102 TFEU as primary law provisions.</w:t>
      </w:r>
    </w:p>
    <w:p w14:paraId="7D67374B" w14:textId="77777777" w:rsidR="002F38A7" w:rsidRDefault="002F38A7" w:rsidP="002F38A7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lang w:val="en-GB"/>
        </w:rPr>
      </w:pPr>
      <w:r w:rsidRPr="002F38A7">
        <w:rPr>
          <w:rFonts w:ascii="Arial" w:hAnsi="Arial" w:cs="Arial"/>
          <w:lang w:val="en-GB"/>
        </w:rPr>
        <w:t>Article 101 TFEU – Cartels and Anti-Competitive Agreements</w:t>
      </w:r>
    </w:p>
    <w:p w14:paraId="6D68F172" w14:textId="61278AE6" w:rsidR="002F38A7" w:rsidRDefault="002F38A7" w:rsidP="002F38A7">
      <w:pPr>
        <w:pStyle w:val="Odstavecseseznamem"/>
        <w:numPr>
          <w:ilvl w:val="1"/>
          <w:numId w:val="10"/>
        </w:numPr>
        <w:jc w:val="both"/>
        <w:rPr>
          <w:rFonts w:ascii="Arial" w:hAnsi="Arial" w:cs="Arial"/>
          <w:lang w:val="en-GB"/>
        </w:rPr>
      </w:pPr>
      <w:r w:rsidRPr="002F38A7">
        <w:rPr>
          <w:rFonts w:ascii="Arial" w:hAnsi="Arial" w:cs="Arial"/>
          <w:lang w:val="en-GB"/>
        </w:rPr>
        <w:t>Explain the scope of Article 101(1) TFEU, including:</w:t>
      </w:r>
      <w:r>
        <w:rPr>
          <w:rFonts w:ascii="Arial" w:hAnsi="Arial" w:cs="Arial"/>
          <w:lang w:val="en-GB"/>
        </w:rPr>
        <w:t xml:space="preserve"> </w:t>
      </w:r>
      <w:r w:rsidRPr="002F38A7">
        <w:rPr>
          <w:rFonts w:ascii="Arial" w:hAnsi="Arial" w:cs="Arial"/>
          <w:lang w:val="en-GB"/>
        </w:rPr>
        <w:t>agreements, decisions by associations of undertakings, and concerted practices,</w:t>
      </w:r>
      <w:r>
        <w:rPr>
          <w:rFonts w:ascii="Arial" w:hAnsi="Arial" w:cs="Arial"/>
          <w:lang w:val="en-GB"/>
        </w:rPr>
        <w:t xml:space="preserve"> </w:t>
      </w:r>
      <w:r w:rsidRPr="002F38A7">
        <w:rPr>
          <w:rFonts w:ascii="Arial" w:hAnsi="Arial" w:cs="Arial"/>
          <w:lang w:val="en-GB"/>
        </w:rPr>
        <w:t>object or effect of restricting competition,</w:t>
      </w:r>
      <w:r>
        <w:rPr>
          <w:rFonts w:ascii="Arial" w:hAnsi="Arial" w:cs="Arial"/>
          <w:lang w:val="en-GB"/>
        </w:rPr>
        <w:t xml:space="preserve"> and </w:t>
      </w:r>
      <w:r w:rsidRPr="002F38A7">
        <w:rPr>
          <w:rFonts w:ascii="Arial" w:hAnsi="Arial" w:cs="Arial"/>
          <w:lang w:val="en-GB"/>
        </w:rPr>
        <w:t>impact on trade between Member States.</w:t>
      </w:r>
    </w:p>
    <w:p w14:paraId="1CBC29EC" w14:textId="77777777" w:rsidR="002F38A7" w:rsidRDefault="002F38A7" w:rsidP="002F38A7">
      <w:pPr>
        <w:pStyle w:val="Odstavecseseznamem"/>
        <w:numPr>
          <w:ilvl w:val="1"/>
          <w:numId w:val="10"/>
        </w:numPr>
        <w:jc w:val="both"/>
        <w:rPr>
          <w:rFonts w:ascii="Arial" w:hAnsi="Arial" w:cs="Arial"/>
          <w:lang w:val="en-GB"/>
        </w:rPr>
      </w:pPr>
      <w:r w:rsidRPr="002F38A7">
        <w:rPr>
          <w:rFonts w:ascii="Arial" w:hAnsi="Arial" w:cs="Arial"/>
          <w:lang w:val="en-GB"/>
        </w:rPr>
        <w:t>Identify cartels as the most serious form of infringement (price-fixing, market-sharing, output limitation).</w:t>
      </w:r>
    </w:p>
    <w:p w14:paraId="4CC1D4A5" w14:textId="29723085" w:rsidR="002F38A7" w:rsidRPr="002F38A7" w:rsidRDefault="002F38A7" w:rsidP="002F38A7">
      <w:pPr>
        <w:pStyle w:val="Odstavecseseznamem"/>
        <w:numPr>
          <w:ilvl w:val="1"/>
          <w:numId w:val="10"/>
        </w:numPr>
        <w:jc w:val="both"/>
        <w:rPr>
          <w:rFonts w:ascii="Arial" w:hAnsi="Arial" w:cs="Arial"/>
          <w:lang w:val="en-GB"/>
        </w:rPr>
      </w:pPr>
      <w:r w:rsidRPr="002F38A7">
        <w:rPr>
          <w:rFonts w:ascii="Arial" w:hAnsi="Arial" w:cs="Arial"/>
          <w:lang w:val="en-GB"/>
        </w:rPr>
        <w:t>Briefly mention the possibility of exemption under Article 101(3) TFEU, subject to strict conditions.</w:t>
      </w:r>
    </w:p>
    <w:p w14:paraId="16218374" w14:textId="77777777" w:rsidR="002F38A7" w:rsidRDefault="002F38A7" w:rsidP="002F38A7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lang w:val="en-GB"/>
        </w:rPr>
      </w:pPr>
      <w:r w:rsidRPr="002F38A7">
        <w:rPr>
          <w:rFonts w:ascii="Arial" w:hAnsi="Arial" w:cs="Arial"/>
          <w:lang w:val="en-GB"/>
        </w:rPr>
        <w:t>Article 102 TFEU – Abuse of a Dominant Position</w:t>
      </w:r>
    </w:p>
    <w:p w14:paraId="3AD785C8" w14:textId="77777777" w:rsidR="002F38A7" w:rsidRDefault="002F38A7" w:rsidP="002F38A7">
      <w:pPr>
        <w:pStyle w:val="Odstavecseseznamem"/>
        <w:numPr>
          <w:ilvl w:val="1"/>
          <w:numId w:val="10"/>
        </w:numPr>
        <w:jc w:val="both"/>
        <w:rPr>
          <w:rFonts w:ascii="Arial" w:hAnsi="Arial" w:cs="Arial"/>
          <w:lang w:val="en-GB"/>
        </w:rPr>
      </w:pPr>
      <w:r w:rsidRPr="002F38A7">
        <w:rPr>
          <w:rFonts w:ascii="Arial" w:hAnsi="Arial" w:cs="Arial"/>
          <w:lang w:val="en-GB"/>
        </w:rPr>
        <w:t>Define dominant position as a position of economic strength enabling an undertaking to behave independently of competitors, customers, and consumers.</w:t>
      </w:r>
    </w:p>
    <w:p w14:paraId="7D05CAFA" w14:textId="03D5F4FD" w:rsidR="002F38A7" w:rsidRDefault="002F38A7" w:rsidP="002F38A7">
      <w:pPr>
        <w:pStyle w:val="Odstavecseseznamem"/>
        <w:numPr>
          <w:ilvl w:val="1"/>
          <w:numId w:val="10"/>
        </w:numPr>
        <w:jc w:val="both"/>
        <w:rPr>
          <w:rFonts w:ascii="Arial" w:hAnsi="Arial" w:cs="Arial"/>
          <w:lang w:val="en-GB"/>
        </w:rPr>
      </w:pPr>
      <w:r w:rsidRPr="002F38A7">
        <w:rPr>
          <w:rFonts w:ascii="Arial" w:hAnsi="Arial" w:cs="Arial"/>
          <w:lang w:val="en-GB"/>
        </w:rPr>
        <w:t xml:space="preserve">Explain the concept of abuse, </w:t>
      </w:r>
      <w:r w:rsidR="00FC606A" w:rsidRPr="002F38A7">
        <w:rPr>
          <w:rFonts w:ascii="Arial" w:hAnsi="Arial" w:cs="Arial"/>
          <w:lang w:val="en-GB"/>
        </w:rPr>
        <w:t>distinguishing</w:t>
      </w:r>
      <w:r>
        <w:rPr>
          <w:rFonts w:ascii="Arial" w:hAnsi="Arial" w:cs="Arial"/>
          <w:lang w:val="en-GB"/>
        </w:rPr>
        <w:t xml:space="preserve"> </w:t>
      </w:r>
      <w:r w:rsidRPr="002F38A7">
        <w:rPr>
          <w:rFonts w:ascii="Arial" w:hAnsi="Arial" w:cs="Arial"/>
          <w:lang w:val="en-GB"/>
        </w:rPr>
        <w:t>exclusionary abuses (e.g. tying, refusal to supply),</w:t>
      </w:r>
      <w:r>
        <w:rPr>
          <w:rFonts w:ascii="Arial" w:hAnsi="Arial" w:cs="Arial"/>
          <w:lang w:val="en-GB"/>
        </w:rPr>
        <w:t xml:space="preserve"> </w:t>
      </w:r>
      <w:r w:rsidRPr="002F38A7">
        <w:rPr>
          <w:rFonts w:ascii="Arial" w:hAnsi="Arial" w:cs="Arial"/>
          <w:lang w:val="en-GB"/>
        </w:rPr>
        <w:t>exploitative abuses.</w:t>
      </w:r>
    </w:p>
    <w:p w14:paraId="1F9245BE" w14:textId="1D12A403" w:rsidR="002F38A7" w:rsidRPr="002F38A7" w:rsidRDefault="002F38A7" w:rsidP="002F38A7">
      <w:pPr>
        <w:pStyle w:val="Odstavecseseznamem"/>
        <w:numPr>
          <w:ilvl w:val="1"/>
          <w:numId w:val="10"/>
        </w:numPr>
        <w:jc w:val="both"/>
        <w:rPr>
          <w:rFonts w:ascii="Arial" w:hAnsi="Arial" w:cs="Arial"/>
          <w:lang w:val="en-GB"/>
        </w:rPr>
      </w:pPr>
      <w:r w:rsidRPr="002F38A7">
        <w:rPr>
          <w:rFonts w:ascii="Arial" w:hAnsi="Arial" w:cs="Arial"/>
          <w:lang w:val="en-GB"/>
        </w:rPr>
        <w:t>Apply these principles with reference to Case T-201/04 Microsoft, highlighting</w:t>
      </w:r>
      <w:r w:rsidR="00FC606A">
        <w:rPr>
          <w:rFonts w:ascii="Arial" w:hAnsi="Arial" w:cs="Arial"/>
          <w:lang w:val="en-GB"/>
        </w:rPr>
        <w:t xml:space="preserve"> </w:t>
      </w:r>
      <w:r w:rsidRPr="002F38A7">
        <w:rPr>
          <w:rFonts w:ascii="Arial" w:hAnsi="Arial" w:cs="Arial"/>
          <w:lang w:val="en-GB"/>
        </w:rPr>
        <w:t>tying and interoperability issues,</w:t>
      </w:r>
      <w:r>
        <w:rPr>
          <w:rFonts w:ascii="Arial" w:hAnsi="Arial" w:cs="Arial"/>
          <w:lang w:val="en-GB"/>
        </w:rPr>
        <w:t xml:space="preserve"> </w:t>
      </w:r>
      <w:r w:rsidRPr="002F38A7">
        <w:rPr>
          <w:rFonts w:ascii="Arial" w:hAnsi="Arial" w:cs="Arial"/>
          <w:lang w:val="en-GB"/>
        </w:rPr>
        <w:t>special responsibility of dominant undertakings,</w:t>
      </w:r>
      <w:r>
        <w:rPr>
          <w:rFonts w:ascii="Arial" w:hAnsi="Arial" w:cs="Arial"/>
          <w:lang w:val="en-GB"/>
        </w:rPr>
        <w:t xml:space="preserve"> </w:t>
      </w:r>
      <w:r w:rsidRPr="002F38A7">
        <w:rPr>
          <w:rFonts w:ascii="Arial" w:hAnsi="Arial" w:cs="Arial"/>
          <w:lang w:val="en-GB"/>
        </w:rPr>
        <w:t>remedies imposed by the Commission and upheld by the General Court.</w:t>
      </w:r>
    </w:p>
    <w:p w14:paraId="58750A6C" w14:textId="77777777" w:rsidR="002F38A7" w:rsidRDefault="002F38A7" w:rsidP="002F38A7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lang w:val="en-GB"/>
        </w:rPr>
      </w:pPr>
      <w:r w:rsidRPr="002F38A7">
        <w:rPr>
          <w:rFonts w:ascii="Arial" w:hAnsi="Arial" w:cs="Arial"/>
          <w:lang w:val="en-GB"/>
        </w:rPr>
        <w:t>The Concept of an Undertaking</w:t>
      </w:r>
    </w:p>
    <w:p w14:paraId="7A43C725" w14:textId="77777777" w:rsidR="002F38A7" w:rsidRDefault="002F38A7" w:rsidP="002F38A7">
      <w:pPr>
        <w:pStyle w:val="Odstavecseseznamem"/>
        <w:numPr>
          <w:ilvl w:val="1"/>
          <w:numId w:val="10"/>
        </w:numPr>
        <w:jc w:val="both"/>
        <w:rPr>
          <w:rFonts w:ascii="Arial" w:hAnsi="Arial" w:cs="Arial"/>
          <w:lang w:val="en-GB"/>
        </w:rPr>
      </w:pPr>
      <w:r w:rsidRPr="002F38A7">
        <w:rPr>
          <w:rFonts w:ascii="Arial" w:hAnsi="Arial" w:cs="Arial"/>
          <w:lang w:val="en-GB"/>
        </w:rPr>
        <w:t>Explain that EU competition law applies to undertakings, defined functionally as entities engaged in economic activity, regardless of legal form or ownership.</w:t>
      </w:r>
    </w:p>
    <w:p w14:paraId="586D95CB" w14:textId="7D5EC01B" w:rsidR="002F38A7" w:rsidRDefault="002F38A7" w:rsidP="002F38A7">
      <w:pPr>
        <w:pStyle w:val="Odstavecseseznamem"/>
        <w:numPr>
          <w:ilvl w:val="1"/>
          <w:numId w:val="10"/>
        </w:numPr>
        <w:jc w:val="both"/>
        <w:rPr>
          <w:rFonts w:ascii="Arial" w:hAnsi="Arial" w:cs="Arial"/>
          <w:lang w:val="en-GB"/>
        </w:rPr>
      </w:pPr>
      <w:r w:rsidRPr="002F38A7">
        <w:rPr>
          <w:rFonts w:ascii="Arial" w:hAnsi="Arial" w:cs="Arial"/>
          <w:lang w:val="en-GB"/>
        </w:rPr>
        <w:t xml:space="preserve">Refer to Case C-41/90 </w:t>
      </w:r>
      <w:proofErr w:type="spellStart"/>
      <w:r w:rsidRPr="002F38A7">
        <w:rPr>
          <w:rFonts w:ascii="Arial" w:hAnsi="Arial" w:cs="Arial"/>
          <w:lang w:val="en-GB"/>
        </w:rPr>
        <w:t>Höfner</w:t>
      </w:r>
      <w:proofErr w:type="spellEnd"/>
      <w:r w:rsidRPr="002F38A7">
        <w:rPr>
          <w:rFonts w:ascii="Arial" w:hAnsi="Arial" w:cs="Arial"/>
          <w:lang w:val="en-GB"/>
        </w:rPr>
        <w:t>, emphasising that</w:t>
      </w:r>
      <w:r>
        <w:rPr>
          <w:rFonts w:ascii="Arial" w:hAnsi="Arial" w:cs="Arial"/>
          <w:lang w:val="en-GB"/>
        </w:rPr>
        <w:t xml:space="preserve"> </w:t>
      </w:r>
      <w:r w:rsidRPr="002F38A7">
        <w:rPr>
          <w:rFonts w:ascii="Arial" w:hAnsi="Arial" w:cs="Arial"/>
          <w:lang w:val="en-GB"/>
        </w:rPr>
        <w:t>even state-related entities may qualify as undertakings,</w:t>
      </w:r>
      <w:r>
        <w:rPr>
          <w:rFonts w:ascii="Arial" w:hAnsi="Arial" w:cs="Arial"/>
          <w:lang w:val="en-GB"/>
        </w:rPr>
        <w:t xml:space="preserve"> </w:t>
      </w:r>
      <w:r w:rsidRPr="002F38A7">
        <w:rPr>
          <w:rFonts w:ascii="Arial" w:hAnsi="Arial" w:cs="Arial"/>
          <w:lang w:val="en-GB"/>
        </w:rPr>
        <w:t>public tasks do not automatically exclude the application of competition law.</w:t>
      </w:r>
    </w:p>
    <w:p w14:paraId="44097650" w14:textId="7F00B004" w:rsidR="002F38A7" w:rsidRPr="002F38A7" w:rsidRDefault="002F38A7" w:rsidP="002F38A7">
      <w:pPr>
        <w:pStyle w:val="Odstavecseseznamem"/>
        <w:numPr>
          <w:ilvl w:val="1"/>
          <w:numId w:val="10"/>
        </w:numPr>
        <w:jc w:val="both"/>
        <w:rPr>
          <w:rFonts w:ascii="Arial" w:hAnsi="Arial" w:cs="Arial"/>
          <w:lang w:val="en-GB"/>
        </w:rPr>
      </w:pPr>
      <w:r w:rsidRPr="002F38A7">
        <w:rPr>
          <w:rFonts w:ascii="Arial" w:hAnsi="Arial" w:cs="Arial"/>
          <w:lang w:val="en-GB"/>
        </w:rPr>
        <w:t>Clarify the relevance of this concept for the personal scope of Articles 101 and 102 TFEU.</w:t>
      </w:r>
    </w:p>
    <w:p w14:paraId="42B316D4" w14:textId="77777777" w:rsidR="002F38A7" w:rsidRDefault="002F38A7" w:rsidP="002F38A7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lang w:val="en-GB"/>
        </w:rPr>
      </w:pPr>
      <w:r w:rsidRPr="002F38A7">
        <w:rPr>
          <w:rFonts w:ascii="Arial" w:hAnsi="Arial" w:cs="Arial"/>
          <w:lang w:val="en-GB"/>
        </w:rPr>
        <w:t>Parental Liability and Corporate Groups</w:t>
      </w:r>
    </w:p>
    <w:p w14:paraId="7A72D2BD" w14:textId="77777777" w:rsidR="002F38A7" w:rsidRDefault="002F38A7" w:rsidP="002F38A7">
      <w:pPr>
        <w:pStyle w:val="Odstavecseseznamem"/>
        <w:numPr>
          <w:ilvl w:val="1"/>
          <w:numId w:val="10"/>
        </w:numPr>
        <w:jc w:val="both"/>
        <w:rPr>
          <w:rFonts w:ascii="Arial" w:hAnsi="Arial" w:cs="Arial"/>
          <w:lang w:val="en-GB"/>
        </w:rPr>
      </w:pPr>
      <w:r w:rsidRPr="002F38A7">
        <w:rPr>
          <w:rFonts w:ascii="Arial" w:hAnsi="Arial" w:cs="Arial"/>
          <w:lang w:val="en-GB"/>
        </w:rPr>
        <w:t>Explain the principle of single economic unit in EU competition law.</w:t>
      </w:r>
    </w:p>
    <w:p w14:paraId="4C0AD616" w14:textId="77777777" w:rsidR="002F38A7" w:rsidRDefault="002F38A7" w:rsidP="002F38A7">
      <w:pPr>
        <w:pStyle w:val="Odstavecseseznamem"/>
        <w:numPr>
          <w:ilvl w:val="1"/>
          <w:numId w:val="10"/>
        </w:numPr>
        <w:jc w:val="both"/>
        <w:rPr>
          <w:rFonts w:ascii="Arial" w:hAnsi="Arial" w:cs="Arial"/>
          <w:lang w:val="en-GB"/>
        </w:rPr>
      </w:pPr>
      <w:r w:rsidRPr="002F38A7">
        <w:rPr>
          <w:rFonts w:ascii="Arial" w:hAnsi="Arial" w:cs="Arial"/>
          <w:lang w:val="en-GB"/>
        </w:rPr>
        <w:t>Refer to Case C-97/08 Akzo Nobel, highlighting:</w:t>
      </w:r>
      <w:r>
        <w:rPr>
          <w:rFonts w:ascii="Arial" w:hAnsi="Arial" w:cs="Arial"/>
          <w:lang w:val="en-GB"/>
        </w:rPr>
        <w:t xml:space="preserve"> </w:t>
      </w:r>
      <w:r w:rsidRPr="002F38A7">
        <w:rPr>
          <w:rFonts w:ascii="Arial" w:hAnsi="Arial" w:cs="Arial"/>
          <w:lang w:val="en-GB"/>
        </w:rPr>
        <w:t>the presumption of decisive influence exercised by a parent company,</w:t>
      </w:r>
      <w:r>
        <w:rPr>
          <w:rFonts w:ascii="Arial" w:hAnsi="Arial" w:cs="Arial"/>
          <w:lang w:val="en-GB"/>
        </w:rPr>
        <w:t xml:space="preserve"> </w:t>
      </w:r>
      <w:r w:rsidRPr="002F38A7">
        <w:rPr>
          <w:rFonts w:ascii="Arial" w:hAnsi="Arial" w:cs="Arial"/>
          <w:lang w:val="en-GB"/>
        </w:rPr>
        <w:t>attribution of liability for competition law infringements within corporate groups.</w:t>
      </w:r>
    </w:p>
    <w:p w14:paraId="5C441E7D" w14:textId="0DCB51B9" w:rsidR="002F38A7" w:rsidRDefault="002F38A7" w:rsidP="002F38A7">
      <w:pPr>
        <w:pStyle w:val="Odstavecseseznamem"/>
        <w:numPr>
          <w:ilvl w:val="1"/>
          <w:numId w:val="10"/>
        </w:numPr>
        <w:jc w:val="both"/>
        <w:rPr>
          <w:rFonts w:ascii="Arial" w:hAnsi="Arial" w:cs="Arial"/>
          <w:lang w:val="en-GB"/>
        </w:rPr>
      </w:pPr>
      <w:r w:rsidRPr="002F38A7">
        <w:rPr>
          <w:rFonts w:ascii="Arial" w:hAnsi="Arial" w:cs="Arial"/>
          <w:lang w:val="en-GB"/>
        </w:rPr>
        <w:t>Explain the importance of this doctrine for effective enforcement and deterrence.</w:t>
      </w:r>
    </w:p>
    <w:p w14:paraId="27572835" w14:textId="77777777" w:rsidR="00FC606A" w:rsidRPr="00FC606A" w:rsidRDefault="00FC606A" w:rsidP="00FC606A">
      <w:pPr>
        <w:jc w:val="both"/>
        <w:rPr>
          <w:rFonts w:ascii="Arial" w:hAnsi="Arial" w:cs="Arial"/>
          <w:lang w:val="en-GB"/>
        </w:rPr>
      </w:pPr>
    </w:p>
    <w:p w14:paraId="45675A1F" w14:textId="77777777" w:rsidR="002F38A7" w:rsidRDefault="002F38A7" w:rsidP="002F38A7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lang w:val="en-GB"/>
        </w:rPr>
      </w:pPr>
      <w:r w:rsidRPr="002F38A7">
        <w:rPr>
          <w:rFonts w:ascii="Arial" w:hAnsi="Arial" w:cs="Arial"/>
          <w:lang w:val="en-GB"/>
        </w:rPr>
        <w:t>Enforcement Mechanisms and Institutional Roles</w:t>
      </w:r>
    </w:p>
    <w:p w14:paraId="29AD0D98" w14:textId="77777777" w:rsidR="002F38A7" w:rsidRDefault="002F38A7" w:rsidP="002F38A7">
      <w:pPr>
        <w:pStyle w:val="Odstavecseseznamem"/>
        <w:numPr>
          <w:ilvl w:val="1"/>
          <w:numId w:val="10"/>
        </w:numPr>
        <w:jc w:val="both"/>
        <w:rPr>
          <w:rFonts w:ascii="Arial" w:hAnsi="Arial" w:cs="Arial"/>
          <w:lang w:val="en-GB"/>
        </w:rPr>
      </w:pPr>
      <w:r w:rsidRPr="002F38A7">
        <w:rPr>
          <w:rFonts w:ascii="Arial" w:hAnsi="Arial" w:cs="Arial"/>
          <w:lang w:val="en-GB"/>
        </w:rPr>
        <w:t>Identify the European Commission as the primary enforcement authority:</w:t>
      </w:r>
      <w:r>
        <w:rPr>
          <w:rFonts w:ascii="Arial" w:hAnsi="Arial" w:cs="Arial"/>
          <w:lang w:val="en-GB"/>
        </w:rPr>
        <w:t xml:space="preserve"> </w:t>
      </w:r>
      <w:r w:rsidRPr="002F38A7">
        <w:rPr>
          <w:rFonts w:ascii="Arial" w:hAnsi="Arial" w:cs="Arial"/>
          <w:lang w:val="en-GB"/>
        </w:rPr>
        <w:t>investigations, dawn raids, decisions, fines, commitments.</w:t>
      </w:r>
    </w:p>
    <w:p w14:paraId="650D4687" w14:textId="77777777" w:rsidR="002F38A7" w:rsidRDefault="002F38A7" w:rsidP="002F38A7">
      <w:pPr>
        <w:pStyle w:val="Odstavecseseznamem"/>
        <w:numPr>
          <w:ilvl w:val="1"/>
          <w:numId w:val="10"/>
        </w:numPr>
        <w:jc w:val="both"/>
        <w:rPr>
          <w:rFonts w:ascii="Arial" w:hAnsi="Arial" w:cs="Arial"/>
          <w:lang w:val="en-GB"/>
        </w:rPr>
      </w:pPr>
      <w:r w:rsidRPr="002F38A7">
        <w:rPr>
          <w:rFonts w:ascii="Arial" w:hAnsi="Arial" w:cs="Arial"/>
          <w:lang w:val="en-GB"/>
        </w:rPr>
        <w:t>Explain the role of</w:t>
      </w:r>
      <w:r>
        <w:rPr>
          <w:rFonts w:ascii="Arial" w:hAnsi="Arial" w:cs="Arial"/>
          <w:lang w:val="en-GB"/>
        </w:rPr>
        <w:t xml:space="preserve"> </w:t>
      </w:r>
      <w:r w:rsidRPr="002F38A7">
        <w:rPr>
          <w:rFonts w:ascii="Arial" w:hAnsi="Arial" w:cs="Arial"/>
          <w:lang w:val="en-GB"/>
        </w:rPr>
        <w:t>the General Court (judicial review of Commission decisions),</w:t>
      </w:r>
      <w:r>
        <w:rPr>
          <w:rFonts w:ascii="Arial" w:hAnsi="Arial" w:cs="Arial"/>
          <w:lang w:val="en-GB"/>
        </w:rPr>
        <w:t xml:space="preserve"> </w:t>
      </w:r>
      <w:r w:rsidRPr="002F38A7">
        <w:rPr>
          <w:rFonts w:ascii="Arial" w:hAnsi="Arial" w:cs="Arial"/>
          <w:lang w:val="en-GB"/>
        </w:rPr>
        <w:t>the Court of Justice of the European Union (appeals on points of law).</w:t>
      </w:r>
    </w:p>
    <w:p w14:paraId="4CA5C725" w14:textId="78FEE111" w:rsidR="002F38A7" w:rsidRPr="002F38A7" w:rsidRDefault="002F38A7" w:rsidP="002F38A7">
      <w:pPr>
        <w:pStyle w:val="Odstavecseseznamem"/>
        <w:numPr>
          <w:ilvl w:val="1"/>
          <w:numId w:val="10"/>
        </w:numPr>
        <w:jc w:val="both"/>
        <w:rPr>
          <w:rFonts w:ascii="Arial" w:hAnsi="Arial" w:cs="Arial"/>
          <w:lang w:val="en-GB"/>
        </w:rPr>
      </w:pPr>
      <w:r w:rsidRPr="002F38A7">
        <w:rPr>
          <w:rFonts w:ascii="Arial" w:hAnsi="Arial" w:cs="Arial"/>
          <w:lang w:val="en-GB"/>
        </w:rPr>
        <w:t>Briefly mention the interaction with national competition authorities under Regulation 1/2003.</w:t>
      </w:r>
    </w:p>
    <w:p w14:paraId="685CFE57" w14:textId="77777777" w:rsidR="002F38A7" w:rsidRDefault="002F38A7" w:rsidP="002F38A7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lang w:val="en-GB"/>
        </w:rPr>
      </w:pPr>
      <w:r w:rsidRPr="002F38A7">
        <w:rPr>
          <w:rFonts w:ascii="Arial" w:hAnsi="Arial" w:cs="Arial"/>
          <w:lang w:val="en-GB"/>
        </w:rPr>
        <w:t>The Digital Markets Act (DMA)</w:t>
      </w:r>
    </w:p>
    <w:p w14:paraId="5A4DF84C" w14:textId="77777777" w:rsidR="002F38A7" w:rsidRDefault="002F38A7" w:rsidP="002F38A7">
      <w:pPr>
        <w:pStyle w:val="Odstavecseseznamem"/>
        <w:numPr>
          <w:ilvl w:val="1"/>
          <w:numId w:val="10"/>
        </w:numPr>
        <w:jc w:val="both"/>
        <w:rPr>
          <w:rFonts w:ascii="Arial" w:hAnsi="Arial" w:cs="Arial"/>
          <w:lang w:val="en-GB"/>
        </w:rPr>
      </w:pPr>
      <w:r w:rsidRPr="002F38A7">
        <w:rPr>
          <w:rFonts w:ascii="Arial" w:hAnsi="Arial" w:cs="Arial"/>
          <w:lang w:val="en-GB"/>
        </w:rPr>
        <w:t>Identify Regulation (EU) 2022/1925 (Digital Markets Act) as a complementary ex ante regulatory instrument, not a replacement for Articles 101 and 102 TFEU.</w:t>
      </w:r>
    </w:p>
    <w:p w14:paraId="043FB2AC" w14:textId="77777777" w:rsidR="002F38A7" w:rsidRDefault="002F38A7" w:rsidP="002F38A7">
      <w:pPr>
        <w:pStyle w:val="Odstavecseseznamem"/>
        <w:numPr>
          <w:ilvl w:val="1"/>
          <w:numId w:val="10"/>
        </w:numPr>
        <w:jc w:val="both"/>
        <w:rPr>
          <w:rFonts w:ascii="Arial" w:hAnsi="Arial" w:cs="Arial"/>
          <w:lang w:val="en-GB"/>
        </w:rPr>
      </w:pPr>
      <w:r w:rsidRPr="002F38A7">
        <w:rPr>
          <w:rFonts w:ascii="Arial" w:hAnsi="Arial" w:cs="Arial"/>
          <w:lang w:val="en-GB"/>
        </w:rPr>
        <w:t>Explain its objective of addressing structural competition concerns related to gatekeepers in digital markets.</w:t>
      </w:r>
    </w:p>
    <w:p w14:paraId="39E33F02" w14:textId="1F2FB501" w:rsidR="002F38A7" w:rsidRPr="002F38A7" w:rsidRDefault="002F38A7" w:rsidP="002F38A7">
      <w:pPr>
        <w:pStyle w:val="Odstavecseseznamem"/>
        <w:numPr>
          <w:ilvl w:val="1"/>
          <w:numId w:val="10"/>
        </w:numPr>
        <w:jc w:val="both"/>
        <w:rPr>
          <w:rFonts w:ascii="Arial" w:hAnsi="Arial" w:cs="Arial"/>
          <w:lang w:val="en-GB"/>
        </w:rPr>
      </w:pPr>
      <w:r w:rsidRPr="002F38A7">
        <w:rPr>
          <w:rFonts w:ascii="Arial" w:hAnsi="Arial" w:cs="Arial"/>
          <w:lang w:val="en-GB"/>
        </w:rPr>
        <w:t>Highlight the relationship between traditional competition law enforcement and sector-specific regulation.</w:t>
      </w:r>
    </w:p>
    <w:p w14:paraId="7AD2FF3C" w14:textId="77777777" w:rsidR="002F38A7" w:rsidRDefault="002F38A7" w:rsidP="002F38A7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lang w:val="en-GB"/>
        </w:rPr>
      </w:pPr>
      <w:r w:rsidRPr="002F38A7">
        <w:rPr>
          <w:rFonts w:ascii="Arial" w:hAnsi="Arial" w:cs="Arial"/>
          <w:lang w:val="en-GB"/>
        </w:rPr>
        <w:t>Conclusion</w:t>
      </w:r>
    </w:p>
    <w:p w14:paraId="17AD73A2" w14:textId="04E94937" w:rsidR="002F38A7" w:rsidRDefault="002F38A7" w:rsidP="002F38A7">
      <w:pPr>
        <w:pStyle w:val="Odstavecseseznamem"/>
        <w:numPr>
          <w:ilvl w:val="1"/>
          <w:numId w:val="10"/>
        </w:numPr>
        <w:jc w:val="both"/>
        <w:rPr>
          <w:rFonts w:ascii="Arial" w:hAnsi="Arial" w:cs="Arial"/>
          <w:lang w:val="en-GB"/>
        </w:rPr>
      </w:pPr>
      <w:r w:rsidRPr="002F38A7">
        <w:rPr>
          <w:rFonts w:ascii="Arial" w:hAnsi="Arial" w:cs="Arial"/>
          <w:lang w:val="en-GB"/>
        </w:rPr>
        <w:t>Summarise how EU competition law</w:t>
      </w:r>
      <w:r>
        <w:rPr>
          <w:rFonts w:ascii="Arial" w:hAnsi="Arial" w:cs="Arial"/>
          <w:lang w:val="en-GB"/>
        </w:rPr>
        <w:t xml:space="preserve"> </w:t>
      </w:r>
      <w:r w:rsidRPr="002F38A7">
        <w:rPr>
          <w:rFonts w:ascii="Arial" w:hAnsi="Arial" w:cs="Arial"/>
          <w:lang w:val="en-GB"/>
        </w:rPr>
        <w:t>combines substantive rules (Articles 101 and 102 TFEU),</w:t>
      </w:r>
      <w:r>
        <w:rPr>
          <w:rFonts w:ascii="Arial" w:hAnsi="Arial" w:cs="Arial"/>
          <w:lang w:val="en-GB"/>
        </w:rPr>
        <w:t xml:space="preserve"> </w:t>
      </w:r>
      <w:r w:rsidRPr="002F38A7">
        <w:rPr>
          <w:rFonts w:ascii="Arial" w:hAnsi="Arial" w:cs="Arial"/>
          <w:lang w:val="en-GB"/>
        </w:rPr>
        <w:t>broad personal scope (concept of undertaking),</w:t>
      </w:r>
      <w:r>
        <w:rPr>
          <w:rFonts w:ascii="Arial" w:hAnsi="Arial" w:cs="Arial"/>
          <w:lang w:val="en-GB"/>
        </w:rPr>
        <w:t xml:space="preserve"> and </w:t>
      </w:r>
      <w:r w:rsidRPr="002F38A7">
        <w:rPr>
          <w:rFonts w:ascii="Arial" w:hAnsi="Arial" w:cs="Arial"/>
          <w:lang w:val="en-GB"/>
        </w:rPr>
        <w:t>strong enforcement mechanisms.</w:t>
      </w:r>
    </w:p>
    <w:p w14:paraId="53AE4818" w14:textId="0986B9D1" w:rsidR="002F38A7" w:rsidRPr="002F38A7" w:rsidRDefault="002F38A7" w:rsidP="002F38A7">
      <w:pPr>
        <w:pStyle w:val="Odstavecseseznamem"/>
        <w:numPr>
          <w:ilvl w:val="1"/>
          <w:numId w:val="10"/>
        </w:numPr>
        <w:jc w:val="both"/>
        <w:rPr>
          <w:rFonts w:ascii="Arial" w:hAnsi="Arial" w:cs="Arial"/>
          <w:lang w:val="en-GB"/>
        </w:rPr>
      </w:pPr>
      <w:r w:rsidRPr="002F38A7">
        <w:rPr>
          <w:rFonts w:ascii="Arial" w:hAnsi="Arial" w:cs="Arial"/>
          <w:lang w:val="en-GB"/>
        </w:rPr>
        <w:t>Conclude that EU competition law plays a central role in maintaining competitive market structures, increasingly complemented by regulatory instruments such as the DMA.</w:t>
      </w:r>
    </w:p>
    <w:p w14:paraId="06517D40" w14:textId="4625F421" w:rsidR="00516BDC" w:rsidRPr="00E12F09" w:rsidRDefault="002F38A7" w:rsidP="00DA3BEF">
      <w:pPr>
        <w:jc w:val="both"/>
        <w:rPr>
          <w:rFonts w:ascii="Arial" w:hAnsi="Arial" w:cs="Arial"/>
          <w:lang w:val="en-GB"/>
        </w:rPr>
      </w:pPr>
      <w:r w:rsidRPr="002F38A7">
        <w:rPr>
          <w:rFonts w:ascii="Arial" w:hAnsi="Arial" w:cs="Arial"/>
          <w:b/>
          <w:bCs/>
          <w:lang w:val="en-GB"/>
        </w:rPr>
        <w:t>Assessment note:</w:t>
      </w:r>
      <w:r>
        <w:rPr>
          <w:rFonts w:ascii="Arial" w:hAnsi="Arial" w:cs="Arial"/>
          <w:lang w:val="en-GB"/>
        </w:rPr>
        <w:t xml:space="preserve"> </w:t>
      </w:r>
      <w:r w:rsidRPr="002F38A7">
        <w:rPr>
          <w:rFonts w:ascii="Arial" w:hAnsi="Arial" w:cs="Arial"/>
          <w:lang w:val="en-GB"/>
        </w:rPr>
        <w:t>There is no single correct answer. Students are assessed on their ability to</w:t>
      </w:r>
      <w:r>
        <w:rPr>
          <w:rFonts w:ascii="Arial" w:hAnsi="Arial" w:cs="Arial"/>
          <w:lang w:val="en-GB"/>
        </w:rPr>
        <w:t xml:space="preserve"> </w:t>
      </w:r>
      <w:r w:rsidRPr="002F38A7">
        <w:rPr>
          <w:rFonts w:ascii="Arial" w:hAnsi="Arial" w:cs="Arial"/>
          <w:lang w:val="en-GB"/>
        </w:rPr>
        <w:t>correctly define and apply Articles 101 and 102 TFEU,</w:t>
      </w:r>
      <w:r>
        <w:rPr>
          <w:rFonts w:ascii="Arial" w:hAnsi="Arial" w:cs="Arial"/>
          <w:lang w:val="en-GB"/>
        </w:rPr>
        <w:t xml:space="preserve"> </w:t>
      </w:r>
      <w:r w:rsidRPr="002F38A7">
        <w:rPr>
          <w:rFonts w:ascii="Arial" w:hAnsi="Arial" w:cs="Arial"/>
          <w:lang w:val="en-GB"/>
        </w:rPr>
        <w:t>analyse and use relevant CJEU and General Court case law,</w:t>
      </w:r>
      <w:r>
        <w:rPr>
          <w:rFonts w:ascii="Arial" w:hAnsi="Arial" w:cs="Arial"/>
          <w:lang w:val="en-GB"/>
        </w:rPr>
        <w:t xml:space="preserve"> </w:t>
      </w:r>
      <w:r w:rsidRPr="002F38A7">
        <w:rPr>
          <w:rFonts w:ascii="Arial" w:hAnsi="Arial" w:cs="Arial"/>
          <w:lang w:val="en-GB"/>
        </w:rPr>
        <w:t>demonstrate understanding of enforcement mechanisms and institutional roles,</w:t>
      </w:r>
      <w:r>
        <w:rPr>
          <w:rFonts w:ascii="Arial" w:hAnsi="Arial" w:cs="Arial"/>
          <w:lang w:val="en-GB"/>
        </w:rPr>
        <w:t xml:space="preserve"> and </w:t>
      </w:r>
      <w:r w:rsidRPr="002F38A7">
        <w:rPr>
          <w:rFonts w:ascii="Arial" w:hAnsi="Arial" w:cs="Arial"/>
          <w:lang w:val="en-GB"/>
        </w:rPr>
        <w:t>present a coherent and structured legal analysis.</w:t>
      </w:r>
    </w:p>
    <w:sectPr w:rsidR="00516BDC" w:rsidRPr="00E12F09" w:rsidSect="001C5875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843" w:right="1417" w:bottom="1135" w:left="1417" w:header="708" w:footer="5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FE31F" w14:textId="77777777" w:rsidR="00E378AA" w:rsidRDefault="00E378AA" w:rsidP="00D603FA">
      <w:pPr>
        <w:spacing w:after="0" w:line="240" w:lineRule="auto"/>
      </w:pPr>
      <w:r>
        <w:separator/>
      </w:r>
    </w:p>
  </w:endnote>
  <w:endnote w:type="continuationSeparator" w:id="0">
    <w:p w14:paraId="434F41A9" w14:textId="77777777" w:rsidR="00E378AA" w:rsidRDefault="00E378AA" w:rsidP="00D60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9534058"/>
      <w:docPartObj>
        <w:docPartGallery w:val="Page Numbers (Bottom of Page)"/>
        <w:docPartUnique/>
      </w:docPartObj>
    </w:sdtPr>
    <w:sdtEndPr/>
    <w:sdtContent>
      <w:p w14:paraId="609EBEE0" w14:textId="33F02C49" w:rsidR="007A655D" w:rsidRDefault="007A655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0689A9" w14:textId="77777777" w:rsidR="00D252C3" w:rsidRDefault="00D252C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3647989"/>
      <w:docPartObj>
        <w:docPartGallery w:val="Page Numbers (Bottom of Page)"/>
        <w:docPartUnique/>
      </w:docPartObj>
    </w:sdtPr>
    <w:sdtEndPr/>
    <w:sdtContent>
      <w:tbl>
        <w:tblPr>
          <w:tblStyle w:val="Mkatabulky"/>
          <w:tblW w:w="9351" w:type="dxa"/>
          <w:tblLook w:val="04A0" w:firstRow="1" w:lastRow="0" w:firstColumn="1" w:lastColumn="0" w:noHBand="0" w:noVBand="1"/>
        </w:tblPr>
        <w:tblGrid>
          <w:gridCol w:w="4531"/>
          <w:gridCol w:w="4820"/>
        </w:tblGrid>
        <w:tr w:rsidR="001D5014" w14:paraId="313C67C6" w14:textId="77777777" w:rsidTr="00C15DB8">
          <w:tc>
            <w:tcPr>
              <w:tcW w:w="4531" w:type="dxa"/>
              <w:tcBorders>
                <w:top w:val="nil"/>
                <w:left w:val="nil"/>
                <w:bottom w:val="nil"/>
                <w:right w:val="nil"/>
              </w:tcBorders>
            </w:tcPr>
            <w:p w14:paraId="5F855C0B" w14:textId="47D5C91F" w:rsidR="001D5014" w:rsidRDefault="001821DD" w:rsidP="001821DD">
              <w:pPr>
                <w:rPr>
                  <w:b/>
                  <w:bCs/>
                </w:rPr>
              </w:pPr>
              <w:r>
                <w:tab/>
              </w:r>
              <w:r w:rsidR="001D5014">
                <w:rPr>
                  <w:noProof/>
                </w:rPr>
                <w:drawing>
                  <wp:inline distT="0" distB="0" distL="0" distR="0" wp14:anchorId="3D978D96" wp14:editId="7A1F8396">
                    <wp:extent cx="1227411" cy="429442"/>
                    <wp:effectExtent l="0" t="0" r="0" b="8890"/>
                    <wp:docPr id="913184132" name="Obrázek 5" descr="Obsah obrázku symbol, kruh, snímek obrazovky, Grafika&#10;&#10;Obsah vygenerovaný umělou inteligencí může být nesprávný.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913184132" name="Obrázek 5" descr="Obsah obrázku symbol, kruh, snímek obrazovky, Grafika&#10;&#10;Obsah vygenerovaný umělou inteligencí může být nesprávný.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227411" cy="429442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4820" w:type="dxa"/>
              <w:tcBorders>
                <w:top w:val="nil"/>
                <w:left w:val="nil"/>
                <w:bottom w:val="nil"/>
                <w:right w:val="nil"/>
              </w:tcBorders>
            </w:tcPr>
            <w:p w14:paraId="3D67CE8D" w14:textId="47C7A402" w:rsidR="00C278DE" w:rsidRDefault="001D5014" w:rsidP="00957616">
              <w:pPr>
                <w:ind w:left="741"/>
              </w:pPr>
              <w:r w:rsidRPr="001D5014">
                <w:t>ESF+ na UK</w:t>
              </w:r>
            </w:p>
            <w:p w14:paraId="1A28FB46" w14:textId="4074B2E0" w:rsidR="001D5014" w:rsidRDefault="001D5014" w:rsidP="00957616">
              <w:pPr>
                <w:ind w:left="741"/>
                <w:rPr>
                  <w:b/>
                  <w:bCs/>
                </w:rPr>
              </w:pPr>
              <w:r w:rsidRPr="001D5014">
                <w:t>CZ.02.02.XX/00/23_022/0008957</w:t>
              </w:r>
            </w:p>
          </w:tc>
        </w:tr>
      </w:tbl>
      <w:p w14:paraId="18FBA529" w14:textId="5E495BD0" w:rsidR="0015425C" w:rsidRDefault="00E378AA">
        <w:pPr>
          <w:pStyle w:val="Zpa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435B1" w14:textId="77777777" w:rsidR="00E378AA" w:rsidRDefault="00E378AA" w:rsidP="00D603FA">
      <w:pPr>
        <w:spacing w:after="0" w:line="240" w:lineRule="auto"/>
      </w:pPr>
      <w:r>
        <w:separator/>
      </w:r>
    </w:p>
  </w:footnote>
  <w:footnote w:type="continuationSeparator" w:id="0">
    <w:p w14:paraId="6591E490" w14:textId="77777777" w:rsidR="00E378AA" w:rsidRDefault="00E378AA" w:rsidP="00D60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4CB80" w14:textId="2E027510" w:rsidR="00D603FA" w:rsidRPr="00D252C3" w:rsidRDefault="00E378AA" w:rsidP="00740B5E">
    <w:pPr>
      <w:pStyle w:val="Zhlav"/>
      <w:jc w:val="center"/>
    </w:pPr>
    <w:sdt>
      <w:sdtPr>
        <w:id w:val="-1974972047"/>
        <w:docPartObj>
          <w:docPartGallery w:val="Page Numbers (Margins)"/>
          <w:docPartUnique/>
        </w:docPartObj>
      </w:sdtPr>
      <w:sdtEndPr/>
      <w:sdtContent/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D3165" w14:textId="4C389B95" w:rsidR="00295D67" w:rsidRPr="00295D67" w:rsidRDefault="00BE48EB" w:rsidP="00295D67">
    <w:pPr>
      <w:pStyle w:val="Zhlav"/>
      <w:rPr>
        <w:noProof/>
      </w:rPr>
    </w:pPr>
    <w:r>
      <w:rPr>
        <w:noProof/>
      </w:rPr>
      <w:drawing>
        <wp:inline distT="0" distB="0" distL="0" distR="0" wp14:anchorId="66088DAB" wp14:editId="6FDE6CB4">
          <wp:extent cx="3463963" cy="490651"/>
          <wp:effectExtent l="0" t="0" r="3175" b="5080"/>
          <wp:docPr id="1501701754" name="Obrázek 4" descr="Obsah obrázku text, Písmo, snímek obrazovky, Elektricky modrá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2385970" name="Obrázek 4" descr="Obsah obrázku text, Písmo, snímek obrazovky, Elektricky modrá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84759" cy="4935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D757F">
      <w:rPr>
        <w:noProof/>
      </w:rPr>
      <w:t xml:space="preserve">                             </w:t>
    </w:r>
    <w:r w:rsidR="00295D67" w:rsidRPr="00295D67">
      <w:rPr>
        <w:noProof/>
      </w:rPr>
      <w:drawing>
        <wp:inline distT="0" distB="0" distL="0" distR="0" wp14:anchorId="32B57840" wp14:editId="76D2EFE9">
          <wp:extent cx="1373826" cy="640042"/>
          <wp:effectExtent l="0" t="0" r="0" b="8255"/>
          <wp:docPr id="2031588704" name="Obrázek 2" descr="Obsah obrázku text, Písmo, logo, symbol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1588704" name="Obrázek 2" descr="Obsah obrázku text, Písmo, logo, symbol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287" cy="6533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D757F">
      <w:rPr>
        <w:noProof/>
      </w:rPr>
      <w:t xml:space="preserve">               </w:t>
    </w:r>
  </w:p>
  <w:p w14:paraId="390FDAA5" w14:textId="4ABCBC58" w:rsidR="00740B5E" w:rsidRDefault="00740B5E" w:rsidP="00BD757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41365"/>
    <w:multiLevelType w:val="hybridMultilevel"/>
    <w:tmpl w:val="EED0681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365C5"/>
    <w:multiLevelType w:val="multilevel"/>
    <w:tmpl w:val="F57E7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C22AC7"/>
    <w:multiLevelType w:val="multilevel"/>
    <w:tmpl w:val="8736A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20387D"/>
    <w:multiLevelType w:val="multilevel"/>
    <w:tmpl w:val="4B709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976A2C"/>
    <w:multiLevelType w:val="multilevel"/>
    <w:tmpl w:val="C9E85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FA4181"/>
    <w:multiLevelType w:val="multilevel"/>
    <w:tmpl w:val="6B0C4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E13022"/>
    <w:multiLevelType w:val="hybridMultilevel"/>
    <w:tmpl w:val="787809A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472A6"/>
    <w:multiLevelType w:val="hybridMultilevel"/>
    <w:tmpl w:val="2E4A41C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DC5F85"/>
    <w:multiLevelType w:val="hybridMultilevel"/>
    <w:tmpl w:val="16F4124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92228B"/>
    <w:multiLevelType w:val="hybridMultilevel"/>
    <w:tmpl w:val="C06A464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689678">
    <w:abstractNumId w:val="3"/>
  </w:num>
  <w:num w:numId="2" w16cid:durableId="955215461">
    <w:abstractNumId w:val="4"/>
  </w:num>
  <w:num w:numId="3" w16cid:durableId="1751076289">
    <w:abstractNumId w:val="5"/>
  </w:num>
  <w:num w:numId="4" w16cid:durableId="134489697">
    <w:abstractNumId w:val="2"/>
  </w:num>
  <w:num w:numId="5" w16cid:durableId="1690908874">
    <w:abstractNumId w:val="1"/>
  </w:num>
  <w:num w:numId="6" w16cid:durableId="1196775449">
    <w:abstractNumId w:val="8"/>
  </w:num>
  <w:num w:numId="7" w16cid:durableId="1649556401">
    <w:abstractNumId w:val="6"/>
  </w:num>
  <w:num w:numId="8" w16cid:durableId="862128734">
    <w:abstractNumId w:val="0"/>
  </w:num>
  <w:num w:numId="9" w16cid:durableId="1422800431">
    <w:abstractNumId w:val="9"/>
  </w:num>
  <w:num w:numId="10" w16cid:durableId="19875401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C0C"/>
    <w:rsid w:val="00005B5F"/>
    <w:rsid w:val="00014F5C"/>
    <w:rsid w:val="00023A7D"/>
    <w:rsid w:val="000316A4"/>
    <w:rsid w:val="000712D4"/>
    <w:rsid w:val="00072C66"/>
    <w:rsid w:val="000B1F89"/>
    <w:rsid w:val="000E6DDB"/>
    <w:rsid w:val="0015425C"/>
    <w:rsid w:val="001821DD"/>
    <w:rsid w:val="00193ACB"/>
    <w:rsid w:val="00195B2D"/>
    <w:rsid w:val="00197EE3"/>
    <w:rsid w:val="001C5875"/>
    <w:rsid w:val="001D5014"/>
    <w:rsid w:val="001F5613"/>
    <w:rsid w:val="00203BFE"/>
    <w:rsid w:val="002269BF"/>
    <w:rsid w:val="002471AE"/>
    <w:rsid w:val="0027661D"/>
    <w:rsid w:val="00295D67"/>
    <w:rsid w:val="002A1DCA"/>
    <w:rsid w:val="002E2AEB"/>
    <w:rsid w:val="002E3EB0"/>
    <w:rsid w:val="002E4789"/>
    <w:rsid w:val="002E7BA5"/>
    <w:rsid w:val="002F1684"/>
    <w:rsid w:val="002F38A7"/>
    <w:rsid w:val="0033017C"/>
    <w:rsid w:val="00336CF6"/>
    <w:rsid w:val="00347B09"/>
    <w:rsid w:val="00347F8A"/>
    <w:rsid w:val="003543E2"/>
    <w:rsid w:val="00370C20"/>
    <w:rsid w:val="003F6C8E"/>
    <w:rsid w:val="003F7D0B"/>
    <w:rsid w:val="004009D0"/>
    <w:rsid w:val="00402B8E"/>
    <w:rsid w:val="00412C0C"/>
    <w:rsid w:val="004E1575"/>
    <w:rsid w:val="00515760"/>
    <w:rsid w:val="00516BDC"/>
    <w:rsid w:val="00556A68"/>
    <w:rsid w:val="0057347B"/>
    <w:rsid w:val="00575F67"/>
    <w:rsid w:val="00592045"/>
    <w:rsid w:val="005D684D"/>
    <w:rsid w:val="006300BD"/>
    <w:rsid w:val="006632C1"/>
    <w:rsid w:val="0066443E"/>
    <w:rsid w:val="00674132"/>
    <w:rsid w:val="00675730"/>
    <w:rsid w:val="006E2E03"/>
    <w:rsid w:val="0070229D"/>
    <w:rsid w:val="007022BA"/>
    <w:rsid w:val="0070382E"/>
    <w:rsid w:val="00722A5C"/>
    <w:rsid w:val="00733E4D"/>
    <w:rsid w:val="0073484C"/>
    <w:rsid w:val="00740859"/>
    <w:rsid w:val="00740B5E"/>
    <w:rsid w:val="00752AC4"/>
    <w:rsid w:val="00756262"/>
    <w:rsid w:val="007724DB"/>
    <w:rsid w:val="00792754"/>
    <w:rsid w:val="007A408B"/>
    <w:rsid w:val="007A5E40"/>
    <w:rsid w:val="007A655D"/>
    <w:rsid w:val="007C4E25"/>
    <w:rsid w:val="00807FA6"/>
    <w:rsid w:val="00824116"/>
    <w:rsid w:val="008455C8"/>
    <w:rsid w:val="00891AC4"/>
    <w:rsid w:val="008B79BC"/>
    <w:rsid w:val="008F7F42"/>
    <w:rsid w:val="00932327"/>
    <w:rsid w:val="00937494"/>
    <w:rsid w:val="00957616"/>
    <w:rsid w:val="00957D19"/>
    <w:rsid w:val="0097055C"/>
    <w:rsid w:val="00972A17"/>
    <w:rsid w:val="009A2B09"/>
    <w:rsid w:val="009D46F8"/>
    <w:rsid w:val="00A6107D"/>
    <w:rsid w:val="00A93FA3"/>
    <w:rsid w:val="00AA5161"/>
    <w:rsid w:val="00AB023A"/>
    <w:rsid w:val="00AC4436"/>
    <w:rsid w:val="00B021DF"/>
    <w:rsid w:val="00B45F76"/>
    <w:rsid w:val="00B915E8"/>
    <w:rsid w:val="00BA6346"/>
    <w:rsid w:val="00BB6EE4"/>
    <w:rsid w:val="00BC50C7"/>
    <w:rsid w:val="00BD0B15"/>
    <w:rsid w:val="00BD757F"/>
    <w:rsid w:val="00BE48EB"/>
    <w:rsid w:val="00BF14D5"/>
    <w:rsid w:val="00C15DB8"/>
    <w:rsid w:val="00C17380"/>
    <w:rsid w:val="00C278DE"/>
    <w:rsid w:val="00C45B39"/>
    <w:rsid w:val="00C71969"/>
    <w:rsid w:val="00C73F4A"/>
    <w:rsid w:val="00C8474B"/>
    <w:rsid w:val="00C91F77"/>
    <w:rsid w:val="00CB45F4"/>
    <w:rsid w:val="00CF0DE0"/>
    <w:rsid w:val="00D033C5"/>
    <w:rsid w:val="00D10C9A"/>
    <w:rsid w:val="00D252C3"/>
    <w:rsid w:val="00D335A8"/>
    <w:rsid w:val="00D506A7"/>
    <w:rsid w:val="00D56030"/>
    <w:rsid w:val="00D56DC5"/>
    <w:rsid w:val="00D603FA"/>
    <w:rsid w:val="00D66436"/>
    <w:rsid w:val="00DA3BEF"/>
    <w:rsid w:val="00DC0D5A"/>
    <w:rsid w:val="00DC5B07"/>
    <w:rsid w:val="00DE1CD2"/>
    <w:rsid w:val="00E12F09"/>
    <w:rsid w:val="00E13788"/>
    <w:rsid w:val="00E30D13"/>
    <w:rsid w:val="00E3412F"/>
    <w:rsid w:val="00E378AA"/>
    <w:rsid w:val="00EB74C9"/>
    <w:rsid w:val="00ED5CA9"/>
    <w:rsid w:val="00F1592F"/>
    <w:rsid w:val="00F46672"/>
    <w:rsid w:val="00F47FED"/>
    <w:rsid w:val="00F5114C"/>
    <w:rsid w:val="00F67D10"/>
    <w:rsid w:val="00F963F1"/>
    <w:rsid w:val="00FA0960"/>
    <w:rsid w:val="00FA72D9"/>
    <w:rsid w:val="00FC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6C8737"/>
  <w15:chartTrackingRefBased/>
  <w15:docId w15:val="{617BFDE6-C164-4A21-B67A-BF3899F96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03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73F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97E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56DC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60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03FA"/>
  </w:style>
  <w:style w:type="paragraph" w:styleId="Zpat">
    <w:name w:val="footer"/>
    <w:basedOn w:val="Normln"/>
    <w:link w:val="ZpatChar"/>
    <w:uiPriority w:val="99"/>
    <w:unhideWhenUsed/>
    <w:rsid w:val="00D60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03FA"/>
  </w:style>
  <w:style w:type="character" w:customStyle="1" w:styleId="Nadpis1Char">
    <w:name w:val="Nadpis 1 Char"/>
    <w:basedOn w:val="Standardnpsmoodstavce"/>
    <w:link w:val="Nadpis1"/>
    <w:uiPriority w:val="9"/>
    <w:rsid w:val="00703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C73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Zstupntext">
    <w:name w:val="Placeholder Text"/>
    <w:basedOn w:val="Standardnpsmoodstavce"/>
    <w:uiPriority w:val="99"/>
    <w:semiHidden/>
    <w:rsid w:val="000B1F89"/>
    <w:rPr>
      <w:color w:val="808080"/>
    </w:rPr>
  </w:style>
  <w:style w:type="paragraph" w:styleId="Normlnweb">
    <w:name w:val="Normal (Web)"/>
    <w:basedOn w:val="Normln"/>
    <w:uiPriority w:val="99"/>
    <w:semiHidden/>
    <w:unhideWhenUsed/>
    <w:rsid w:val="00295D67"/>
    <w:rPr>
      <w:rFonts w:ascii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39"/>
    <w:rsid w:val="001D5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197EE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B45F4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D56DC5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1253AC9DDFFB4EB9FD6B3264826B5A" ma:contentTypeVersion="4" ma:contentTypeDescription="Vytvoří nový dokument" ma:contentTypeScope="" ma:versionID="82000d616822cde83e49a3d4967df78b">
  <xsd:schema xmlns:xsd="http://www.w3.org/2001/XMLSchema" xmlns:xs="http://www.w3.org/2001/XMLSchema" xmlns:p="http://schemas.microsoft.com/office/2006/metadata/properties" xmlns:ns2="62aff434-e629-4e63-96eb-3a617ac1c1ba" targetNamespace="http://schemas.microsoft.com/office/2006/metadata/properties" ma:root="true" ma:fieldsID="2fa3212aac6ddc9aa1f1aa9dd0d2c58e" ns2:_="">
    <xsd:import namespace="62aff434-e629-4e63-96eb-3a617ac1c1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ff434-e629-4e63-96eb-3a617ac1c1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14C4B3-857A-4D10-9E1E-B5538276CB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F34D63-09A3-4CFF-82AE-53DB3F8C8D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aff434-e629-4e63-96eb-3a617ac1c1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DC44AA-A59A-4E1A-A96D-A8B485F14A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B293FB-2755-438E-B93B-89E6EBC1759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596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Geniková</dc:creator>
  <cp:keywords/>
  <dc:description/>
  <cp:lastModifiedBy>Ilona Smotlachová</cp:lastModifiedBy>
  <cp:revision>19</cp:revision>
  <cp:lastPrinted>2025-05-27T13:14:00Z</cp:lastPrinted>
  <dcterms:created xsi:type="dcterms:W3CDTF">2025-12-31T09:55:00Z</dcterms:created>
  <dcterms:modified xsi:type="dcterms:W3CDTF">2026-02-02T11:59:00Z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0x010100251253AC9DDFFB4EB9FD6B3264826B5A</vt:lpwstr>
  </property>
  <property fmtid="{D5CDD505-2E9C-101B-9397-08002B2CF9AE}" pid="3" name="MediaServiceImageTags">
    <vt:lpwstr/>
  </property>
</Properties>
</file>