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2487" w14:textId="77777777" w:rsidR="00E12F09" w:rsidRPr="00E12F09" w:rsidRDefault="00E12F09" w:rsidP="00CB45F4">
      <w:pPr>
        <w:jc w:val="both"/>
        <w:rPr>
          <w:rFonts w:ascii="Arial" w:hAnsi="Arial" w:cs="Arial"/>
          <w:b/>
          <w:bCs/>
          <w:lang w:val="en-GB"/>
        </w:rPr>
      </w:pPr>
    </w:p>
    <w:p w14:paraId="788EFD6A" w14:textId="49A29C5D" w:rsidR="00197EE3" w:rsidRPr="00E12F09" w:rsidRDefault="00197EE3" w:rsidP="00CB45F4">
      <w:pPr>
        <w:jc w:val="center"/>
        <w:rPr>
          <w:rFonts w:ascii="Arial" w:hAnsi="Arial" w:cs="Arial"/>
          <w:b/>
          <w:bCs/>
          <w:lang w:val="en-GB"/>
        </w:rPr>
      </w:pPr>
      <w:r w:rsidRPr="00E12F09">
        <w:rPr>
          <w:rFonts w:ascii="Arial" w:hAnsi="Arial" w:cs="Arial"/>
          <w:b/>
          <w:bCs/>
          <w:lang w:val="en-GB"/>
        </w:rPr>
        <w:t xml:space="preserve">Answer Key – </w:t>
      </w:r>
      <w:r w:rsidR="00515760">
        <w:rPr>
          <w:rFonts w:ascii="Arial" w:hAnsi="Arial" w:cs="Arial"/>
          <w:b/>
          <w:bCs/>
          <w:lang w:val="en-GB"/>
        </w:rPr>
        <w:t>Free Movement and Fundamental Rights</w:t>
      </w:r>
      <w:r w:rsidRPr="00E12F09">
        <w:rPr>
          <w:rFonts w:ascii="Arial" w:hAnsi="Arial" w:cs="Arial"/>
          <w:b/>
          <w:bCs/>
          <w:lang w:val="en-GB"/>
        </w:rPr>
        <w:t xml:space="preserve"> (Indicative)</w:t>
      </w:r>
    </w:p>
    <w:p w14:paraId="6C453230" w14:textId="4CAEC8F8" w:rsidR="00DA3BEF" w:rsidRPr="00DA3BEF" w:rsidRDefault="00D56DC5" w:rsidP="00DA3BEF">
      <w:pPr>
        <w:jc w:val="both"/>
        <w:rPr>
          <w:rFonts w:ascii="Arial" w:hAnsi="Arial" w:cs="Arial"/>
          <w:lang w:val="en-GB"/>
        </w:rPr>
      </w:pPr>
      <w:r w:rsidRPr="00D56DC5">
        <w:rPr>
          <w:rFonts w:ascii="Arial" w:hAnsi="Arial" w:cs="Arial"/>
          <w:lang w:val="en-GB"/>
        </w:rPr>
        <w:t>In their answer, the student should address the following elements in a clear and logically structured manner:</w:t>
      </w:r>
      <w:r w:rsidR="00DA3BEF" w:rsidRPr="00DA3BEF">
        <w:t xml:space="preserve"> </w:t>
      </w:r>
    </w:p>
    <w:p w14:paraId="4A5B368C" w14:textId="77777777" w:rsidR="00DA3BEF" w:rsidRDefault="00DA3BEF" w:rsidP="00DA3BE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DA3BEF">
        <w:rPr>
          <w:rFonts w:ascii="Arial" w:hAnsi="Arial" w:cs="Arial"/>
          <w:lang w:val="en-GB"/>
        </w:rPr>
        <w:t>Legal Framework: Fundamental Rights in EU Law</w:t>
      </w:r>
    </w:p>
    <w:p w14:paraId="6F21D71E" w14:textId="77777777" w:rsidR="00DA3BEF" w:rsidRDefault="00DA3BEF" w:rsidP="00DA3BEF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en-GB"/>
        </w:rPr>
      </w:pPr>
      <w:r w:rsidRPr="00DA3BEF">
        <w:rPr>
          <w:rFonts w:ascii="Arial" w:hAnsi="Arial" w:cs="Arial"/>
          <w:lang w:val="en-GB"/>
        </w:rPr>
        <w:t>Refer to Article 6 TEU, highlighting:</w:t>
      </w:r>
      <w:r>
        <w:rPr>
          <w:rFonts w:ascii="Arial" w:hAnsi="Arial" w:cs="Arial"/>
          <w:lang w:val="en-GB"/>
        </w:rPr>
        <w:t xml:space="preserve"> </w:t>
      </w:r>
      <w:r w:rsidRPr="00DA3BEF">
        <w:rPr>
          <w:rFonts w:ascii="Arial" w:hAnsi="Arial" w:cs="Arial"/>
          <w:lang w:val="en-GB"/>
        </w:rPr>
        <w:t>the binding force of the Charter of Fundamental Rights of the EU,</w:t>
      </w:r>
      <w:r>
        <w:rPr>
          <w:rFonts w:ascii="Arial" w:hAnsi="Arial" w:cs="Arial"/>
          <w:lang w:val="en-GB"/>
        </w:rPr>
        <w:t xml:space="preserve"> </w:t>
      </w:r>
      <w:r w:rsidRPr="00DA3BEF">
        <w:rPr>
          <w:rFonts w:ascii="Arial" w:hAnsi="Arial" w:cs="Arial"/>
          <w:lang w:val="en-GB"/>
        </w:rPr>
        <w:t>fundamental rights as general principles of EU law,</w:t>
      </w:r>
      <w:r>
        <w:rPr>
          <w:rFonts w:ascii="Arial" w:hAnsi="Arial" w:cs="Arial"/>
          <w:lang w:val="en-GB"/>
        </w:rPr>
        <w:t xml:space="preserve"> </w:t>
      </w:r>
      <w:r w:rsidRPr="00DA3BEF">
        <w:rPr>
          <w:rFonts w:ascii="Arial" w:hAnsi="Arial" w:cs="Arial"/>
          <w:lang w:val="en-GB"/>
        </w:rPr>
        <w:t>inspiration drawn from constitutional traditions common to the Member States and the ECHR.</w:t>
      </w:r>
    </w:p>
    <w:p w14:paraId="7F699351" w14:textId="2483CB7A" w:rsidR="00DA3BEF" w:rsidRPr="00DA3BEF" w:rsidRDefault="00DA3BEF" w:rsidP="00DA3BEF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en-GB"/>
        </w:rPr>
      </w:pPr>
      <w:r w:rsidRPr="00DA3BEF">
        <w:rPr>
          <w:rFonts w:ascii="Arial" w:hAnsi="Arial" w:cs="Arial"/>
          <w:lang w:val="en-GB"/>
        </w:rPr>
        <w:t>Explain that fundamental rights form part of primary EU law and may justify limitations on internal market freedoms.</w:t>
      </w:r>
    </w:p>
    <w:p w14:paraId="268B780A" w14:textId="77777777" w:rsidR="00DA3BEF" w:rsidRDefault="00DA3BEF" w:rsidP="00DA3BE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DA3BEF">
        <w:rPr>
          <w:rFonts w:ascii="Arial" w:hAnsi="Arial" w:cs="Arial"/>
          <w:lang w:val="en-GB"/>
        </w:rPr>
        <w:t>Nature of the Conflict</w:t>
      </w:r>
    </w:p>
    <w:p w14:paraId="4FFD9527" w14:textId="21B78E4A" w:rsidR="00DA3BEF" w:rsidRDefault="00DA3BEF" w:rsidP="00DA3BEF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en-GB"/>
        </w:rPr>
      </w:pPr>
      <w:r w:rsidRPr="00DA3BEF">
        <w:rPr>
          <w:rFonts w:ascii="Arial" w:hAnsi="Arial" w:cs="Arial"/>
          <w:lang w:val="en-GB"/>
        </w:rPr>
        <w:t>Identify that internal market freedoms (goods, services, establishment) may conflict with</w:t>
      </w:r>
      <w:r>
        <w:rPr>
          <w:rFonts w:ascii="Arial" w:hAnsi="Arial" w:cs="Arial"/>
          <w:lang w:val="en-GB"/>
        </w:rPr>
        <w:t xml:space="preserve"> </w:t>
      </w:r>
      <w:r w:rsidRPr="00DA3BEF">
        <w:rPr>
          <w:rFonts w:ascii="Arial" w:hAnsi="Arial" w:cs="Arial"/>
          <w:lang w:val="en-GB"/>
        </w:rPr>
        <w:t>freedom of expression and assembly,</w:t>
      </w:r>
      <w:r>
        <w:rPr>
          <w:rFonts w:ascii="Arial" w:hAnsi="Arial" w:cs="Arial"/>
          <w:lang w:val="en-GB"/>
        </w:rPr>
        <w:t xml:space="preserve"> </w:t>
      </w:r>
      <w:r w:rsidRPr="00DA3BEF">
        <w:rPr>
          <w:rFonts w:ascii="Arial" w:hAnsi="Arial" w:cs="Arial"/>
          <w:lang w:val="en-GB"/>
        </w:rPr>
        <w:t>human dignity,</w:t>
      </w:r>
      <w:r>
        <w:rPr>
          <w:rFonts w:ascii="Arial" w:hAnsi="Arial" w:cs="Arial"/>
          <w:lang w:val="en-GB"/>
        </w:rPr>
        <w:t xml:space="preserve"> </w:t>
      </w:r>
      <w:r w:rsidRPr="00DA3BEF">
        <w:rPr>
          <w:rFonts w:ascii="Arial" w:hAnsi="Arial" w:cs="Arial"/>
          <w:lang w:val="en-GB"/>
        </w:rPr>
        <w:t>collective labour rights,</w:t>
      </w:r>
      <w:r>
        <w:rPr>
          <w:rFonts w:ascii="Arial" w:hAnsi="Arial" w:cs="Arial"/>
          <w:lang w:val="en-GB"/>
        </w:rPr>
        <w:t xml:space="preserve"> </w:t>
      </w:r>
      <w:r w:rsidRPr="00DA3BEF">
        <w:rPr>
          <w:rFonts w:ascii="Arial" w:hAnsi="Arial" w:cs="Arial"/>
          <w:lang w:val="en-GB"/>
        </w:rPr>
        <w:t>constitutional identity and public policy.</w:t>
      </w:r>
    </w:p>
    <w:p w14:paraId="64328252" w14:textId="05FCD82B" w:rsidR="00DA3BEF" w:rsidRPr="00DA3BEF" w:rsidRDefault="00DA3BEF" w:rsidP="00DA3BEF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en-GB"/>
        </w:rPr>
      </w:pPr>
      <w:r w:rsidRPr="00DA3BEF">
        <w:rPr>
          <w:rFonts w:ascii="Arial" w:hAnsi="Arial" w:cs="Arial"/>
          <w:lang w:val="en-GB"/>
        </w:rPr>
        <w:t>Emphasise that such conflicts do not automatically invalidate national measures restricting economic freedoms.</w:t>
      </w:r>
    </w:p>
    <w:p w14:paraId="2D370D88" w14:textId="77777777" w:rsidR="00DA3BEF" w:rsidRDefault="00DA3BEF" w:rsidP="00DA3BE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DA3BEF">
        <w:rPr>
          <w:rFonts w:ascii="Arial" w:hAnsi="Arial" w:cs="Arial"/>
          <w:lang w:val="en-GB"/>
        </w:rPr>
        <w:t>Case Law Analysis</w:t>
      </w:r>
    </w:p>
    <w:p w14:paraId="4D37E3B3" w14:textId="4CC10F7A" w:rsidR="00DA3BEF" w:rsidRDefault="00DA3BEF" w:rsidP="00DA3BEF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en-GB"/>
        </w:rPr>
      </w:pPr>
      <w:r w:rsidRPr="00DA3BEF">
        <w:rPr>
          <w:rFonts w:ascii="Arial" w:hAnsi="Arial" w:cs="Arial"/>
          <w:lang w:val="en-GB"/>
        </w:rPr>
        <w:t>Case C-112/00 Schmidberger</w:t>
      </w:r>
      <w:r w:rsidR="001D7222">
        <w:rPr>
          <w:rFonts w:ascii="Arial" w:hAnsi="Arial" w:cs="Arial"/>
          <w:lang w:val="en-GB"/>
        </w:rPr>
        <w:t>.</w:t>
      </w:r>
    </w:p>
    <w:p w14:paraId="46B930F7" w14:textId="77777777" w:rsidR="00DA3BEF" w:rsidRDefault="00DA3BEF" w:rsidP="00DA3BEF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en-GB"/>
        </w:rPr>
      </w:pPr>
      <w:r w:rsidRPr="00DA3BEF">
        <w:rPr>
          <w:rFonts w:ascii="Arial" w:hAnsi="Arial" w:cs="Arial"/>
          <w:lang w:val="en-GB"/>
        </w:rPr>
        <w:t>Conflict between free movement of goods and freedom of expression/assembly.</w:t>
      </w:r>
    </w:p>
    <w:p w14:paraId="54387779" w14:textId="77777777" w:rsidR="002F1684" w:rsidRDefault="00DA3BEF" w:rsidP="00DA3BEF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en-GB"/>
        </w:rPr>
      </w:pPr>
      <w:r w:rsidRPr="00DA3BEF">
        <w:rPr>
          <w:rFonts w:ascii="Arial" w:hAnsi="Arial" w:cs="Arial"/>
          <w:lang w:val="en-GB"/>
        </w:rPr>
        <w:t>The Court accepted that protection of fundamental rights may justify restrictions.</w:t>
      </w:r>
    </w:p>
    <w:p w14:paraId="7958AEFD" w14:textId="77777777" w:rsidR="002F1684" w:rsidRDefault="00DA3BEF" w:rsidP="00DA3BEF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en-GB"/>
        </w:rPr>
      </w:pPr>
      <w:r w:rsidRPr="002F1684">
        <w:rPr>
          <w:rFonts w:ascii="Arial" w:hAnsi="Arial" w:cs="Arial"/>
          <w:lang w:val="en-GB"/>
        </w:rPr>
        <w:t>Importance of proportionality and balancing of interests.</w:t>
      </w:r>
    </w:p>
    <w:p w14:paraId="2FC8D0B9" w14:textId="77777777" w:rsidR="002F1684" w:rsidRDefault="00DA3BEF" w:rsidP="00DA3BEF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en-GB"/>
        </w:rPr>
      </w:pPr>
      <w:r w:rsidRPr="002F1684">
        <w:rPr>
          <w:rFonts w:ascii="Arial" w:hAnsi="Arial" w:cs="Arial"/>
          <w:lang w:val="en-GB"/>
        </w:rPr>
        <w:t>Case C-36/02 Omega</w:t>
      </w:r>
    </w:p>
    <w:p w14:paraId="4081DEFB" w14:textId="77777777" w:rsidR="002F1684" w:rsidRDefault="00DA3BEF" w:rsidP="00DA3BEF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  <w:lang w:val="en-GB"/>
        </w:rPr>
      </w:pPr>
      <w:r w:rsidRPr="002F1684">
        <w:rPr>
          <w:rFonts w:ascii="Arial" w:hAnsi="Arial" w:cs="Arial"/>
          <w:lang w:val="en-GB"/>
        </w:rPr>
        <w:t>Restriction on services justified by protection of human dignity.</w:t>
      </w:r>
    </w:p>
    <w:p w14:paraId="3FB80D4B" w14:textId="77777777" w:rsidR="002F1684" w:rsidRDefault="00DA3BEF" w:rsidP="00DA3BEF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  <w:lang w:val="en-GB"/>
        </w:rPr>
      </w:pPr>
      <w:r w:rsidRPr="002F1684">
        <w:rPr>
          <w:rFonts w:ascii="Arial" w:hAnsi="Arial" w:cs="Arial"/>
          <w:lang w:val="en-GB"/>
        </w:rPr>
        <w:t>Recognition of national constitutional values within EU law.</w:t>
      </w:r>
    </w:p>
    <w:p w14:paraId="3365ED14" w14:textId="77777777" w:rsidR="002F1684" w:rsidRDefault="00DA3BEF" w:rsidP="00DA3BEF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  <w:lang w:val="en-GB"/>
        </w:rPr>
      </w:pPr>
      <w:r w:rsidRPr="002F1684">
        <w:rPr>
          <w:rFonts w:ascii="Arial" w:hAnsi="Arial" w:cs="Arial"/>
          <w:lang w:val="en-GB"/>
        </w:rPr>
        <w:t>Confirmation that public policy may include fundamental rights considerations.</w:t>
      </w:r>
    </w:p>
    <w:p w14:paraId="181963E1" w14:textId="77777777" w:rsidR="002F1684" w:rsidRDefault="00DA3BEF" w:rsidP="00DA3BEF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en-GB"/>
        </w:rPr>
      </w:pPr>
      <w:r w:rsidRPr="002F1684">
        <w:rPr>
          <w:rFonts w:ascii="Arial" w:hAnsi="Arial" w:cs="Arial"/>
          <w:lang w:val="en-GB"/>
        </w:rPr>
        <w:t>Case C-438/05 Viking and Case C-341/05 Laval</w:t>
      </w:r>
    </w:p>
    <w:p w14:paraId="66957398" w14:textId="77777777" w:rsidR="002F1684" w:rsidRDefault="00DA3BEF" w:rsidP="00DA3BEF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  <w:lang w:val="en-GB"/>
        </w:rPr>
      </w:pPr>
      <w:r w:rsidRPr="002F1684">
        <w:rPr>
          <w:rFonts w:ascii="Arial" w:hAnsi="Arial" w:cs="Arial"/>
          <w:lang w:val="en-GB"/>
        </w:rPr>
        <w:t>Conflict between economic freedoms and the right to collective action.</w:t>
      </w:r>
    </w:p>
    <w:p w14:paraId="7FA4AC49" w14:textId="2CDF5647" w:rsidR="00DA3BEF" w:rsidRPr="002F1684" w:rsidRDefault="00DA3BEF" w:rsidP="00DA3BEF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  <w:lang w:val="en-GB"/>
        </w:rPr>
      </w:pPr>
      <w:r w:rsidRPr="002F1684">
        <w:rPr>
          <w:rFonts w:ascii="Arial" w:hAnsi="Arial" w:cs="Arial"/>
          <w:lang w:val="en-GB"/>
        </w:rPr>
        <w:t>The Court recognised collective action as a fundamental right but subjected it to</w:t>
      </w:r>
      <w:r w:rsidR="002F1684">
        <w:rPr>
          <w:rFonts w:ascii="Arial" w:hAnsi="Arial" w:cs="Arial"/>
          <w:lang w:val="en-GB"/>
        </w:rPr>
        <w:t xml:space="preserve"> </w:t>
      </w:r>
      <w:r w:rsidRPr="002F1684">
        <w:rPr>
          <w:rFonts w:ascii="Arial" w:hAnsi="Arial" w:cs="Arial"/>
          <w:lang w:val="en-GB"/>
        </w:rPr>
        <w:t>justification, and</w:t>
      </w:r>
      <w:r w:rsidR="002F1684">
        <w:rPr>
          <w:rFonts w:ascii="Arial" w:hAnsi="Arial" w:cs="Arial"/>
          <w:lang w:val="en-GB"/>
        </w:rPr>
        <w:t xml:space="preserve"> </w:t>
      </w:r>
      <w:r w:rsidRPr="002F1684">
        <w:rPr>
          <w:rFonts w:ascii="Arial" w:hAnsi="Arial" w:cs="Arial"/>
          <w:lang w:val="en-GB"/>
        </w:rPr>
        <w:t>strict proportionality review.</w:t>
      </w:r>
      <w:r w:rsidR="002F1684">
        <w:rPr>
          <w:rFonts w:ascii="Arial" w:hAnsi="Arial" w:cs="Arial"/>
          <w:lang w:val="en-GB"/>
        </w:rPr>
        <w:t xml:space="preserve"> </w:t>
      </w:r>
      <w:r w:rsidRPr="002F1684">
        <w:rPr>
          <w:rFonts w:ascii="Arial" w:hAnsi="Arial" w:cs="Arial"/>
          <w:lang w:val="en-GB"/>
        </w:rPr>
        <w:t>These cases illustrate a more market-oriented balancing approach.</w:t>
      </w:r>
    </w:p>
    <w:p w14:paraId="68FAB393" w14:textId="77777777" w:rsidR="002F1684" w:rsidRDefault="00DA3BEF" w:rsidP="00DA3BEF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en-GB"/>
        </w:rPr>
      </w:pPr>
      <w:r w:rsidRPr="002F1684">
        <w:rPr>
          <w:rFonts w:ascii="Arial" w:hAnsi="Arial" w:cs="Arial"/>
          <w:lang w:val="en-GB"/>
        </w:rPr>
        <w:t>Case C-208/09 Sayn-Wittgenstein</w:t>
      </w:r>
    </w:p>
    <w:p w14:paraId="073BF3CD" w14:textId="77777777" w:rsidR="002F1684" w:rsidRDefault="00DA3BEF" w:rsidP="00DA3BEF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  <w:lang w:val="en-GB"/>
        </w:rPr>
      </w:pPr>
      <w:r w:rsidRPr="002F1684">
        <w:rPr>
          <w:rFonts w:ascii="Arial" w:hAnsi="Arial" w:cs="Arial"/>
          <w:lang w:val="en-GB"/>
        </w:rPr>
        <w:t>Restriction on free movement justified by protection of constitutional identity and equality.</w:t>
      </w:r>
    </w:p>
    <w:p w14:paraId="7EDDFAFF" w14:textId="77777777" w:rsidR="002F1684" w:rsidRDefault="00DA3BEF" w:rsidP="00DA3BEF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  <w:lang w:val="en-GB"/>
        </w:rPr>
      </w:pPr>
      <w:r w:rsidRPr="002F1684">
        <w:rPr>
          <w:rFonts w:ascii="Arial" w:hAnsi="Arial" w:cs="Arial"/>
          <w:lang w:val="en-GB"/>
        </w:rPr>
        <w:t>Emphasis on national public policy grounded in fundamental rights.</w:t>
      </w:r>
    </w:p>
    <w:p w14:paraId="089D4D59" w14:textId="44835EF0" w:rsidR="00DA3BEF" w:rsidRPr="002F1684" w:rsidRDefault="00DA3BEF" w:rsidP="00DA3BEF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  <w:lang w:val="en-GB"/>
        </w:rPr>
      </w:pPr>
      <w:r w:rsidRPr="002F1684">
        <w:rPr>
          <w:rFonts w:ascii="Arial" w:hAnsi="Arial" w:cs="Arial"/>
          <w:lang w:val="en-GB"/>
        </w:rPr>
        <w:t>Reinforcement of Member State discretion in sensitive constitutional matters.</w:t>
      </w:r>
    </w:p>
    <w:p w14:paraId="3350D436" w14:textId="77777777" w:rsidR="002F1684" w:rsidRDefault="00DA3BEF" w:rsidP="00DA3BE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2F1684">
        <w:rPr>
          <w:rFonts w:ascii="Arial" w:hAnsi="Arial" w:cs="Arial"/>
          <w:lang w:val="en-GB"/>
        </w:rPr>
        <w:t>Balancing Method Used by the CJEU</w:t>
      </w:r>
    </w:p>
    <w:p w14:paraId="7005448A" w14:textId="7F3B9C12" w:rsidR="002F1684" w:rsidRDefault="00DA3BEF" w:rsidP="00DA3BEF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en-GB"/>
        </w:rPr>
      </w:pPr>
      <w:r w:rsidRPr="002F1684">
        <w:rPr>
          <w:rFonts w:ascii="Arial" w:hAnsi="Arial" w:cs="Arial"/>
          <w:lang w:val="en-GB"/>
        </w:rPr>
        <w:t>Explain that the CJEU applies a balancing and proportionality test, examining</w:t>
      </w:r>
      <w:r w:rsidR="002F1684">
        <w:rPr>
          <w:rFonts w:ascii="Arial" w:hAnsi="Arial" w:cs="Arial"/>
          <w:lang w:val="en-GB"/>
        </w:rPr>
        <w:t xml:space="preserve"> </w:t>
      </w:r>
      <w:r w:rsidRPr="002F1684">
        <w:rPr>
          <w:rFonts w:ascii="Arial" w:hAnsi="Arial" w:cs="Arial"/>
          <w:lang w:val="en-GB"/>
        </w:rPr>
        <w:t>legitimacy of the objective,</w:t>
      </w:r>
      <w:r w:rsidR="002F1684">
        <w:rPr>
          <w:rFonts w:ascii="Arial" w:hAnsi="Arial" w:cs="Arial"/>
          <w:lang w:val="en-GB"/>
        </w:rPr>
        <w:t xml:space="preserve"> </w:t>
      </w:r>
      <w:r w:rsidRPr="002F1684">
        <w:rPr>
          <w:rFonts w:ascii="Arial" w:hAnsi="Arial" w:cs="Arial"/>
          <w:lang w:val="en-GB"/>
        </w:rPr>
        <w:t>suitability of the restrictive measure,</w:t>
      </w:r>
      <w:r w:rsidR="002F1684">
        <w:rPr>
          <w:rFonts w:ascii="Arial" w:hAnsi="Arial" w:cs="Arial"/>
          <w:lang w:val="en-GB"/>
        </w:rPr>
        <w:t xml:space="preserve"> </w:t>
      </w:r>
      <w:r w:rsidRPr="002F1684">
        <w:rPr>
          <w:rFonts w:ascii="Arial" w:hAnsi="Arial" w:cs="Arial"/>
          <w:lang w:val="en-GB"/>
        </w:rPr>
        <w:t>necessity and proportionality stricto sensu.</w:t>
      </w:r>
    </w:p>
    <w:p w14:paraId="318ED2E7" w14:textId="3EAC38A1" w:rsidR="00DA3BEF" w:rsidRDefault="00DA3BEF" w:rsidP="00DA3BEF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en-GB"/>
        </w:rPr>
      </w:pPr>
      <w:r w:rsidRPr="002F1684">
        <w:rPr>
          <w:rFonts w:ascii="Arial" w:hAnsi="Arial" w:cs="Arial"/>
          <w:lang w:val="en-GB"/>
        </w:rPr>
        <w:t>Highlight differences in intensity of review depending on the right at stake.</w:t>
      </w:r>
    </w:p>
    <w:p w14:paraId="17573FB5" w14:textId="77777777" w:rsidR="00BE73DC" w:rsidRPr="00BE73DC" w:rsidRDefault="00BE73DC" w:rsidP="00BE73DC">
      <w:pPr>
        <w:jc w:val="both"/>
        <w:rPr>
          <w:rFonts w:ascii="Arial" w:hAnsi="Arial" w:cs="Arial"/>
          <w:lang w:val="en-GB"/>
        </w:rPr>
      </w:pPr>
    </w:p>
    <w:p w14:paraId="3691F0C9" w14:textId="77777777" w:rsidR="002F1684" w:rsidRDefault="00DA3BEF" w:rsidP="00DA3BE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2F1684">
        <w:rPr>
          <w:rFonts w:ascii="Arial" w:hAnsi="Arial" w:cs="Arial"/>
          <w:lang w:val="en-GB"/>
        </w:rPr>
        <w:lastRenderedPageBreak/>
        <w:t>Critical Assessment</w:t>
      </w:r>
    </w:p>
    <w:p w14:paraId="253C4B2C" w14:textId="48D95E2F" w:rsidR="002F1684" w:rsidRDefault="00DA3BEF" w:rsidP="00DA3BEF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en-GB"/>
        </w:rPr>
      </w:pPr>
      <w:r w:rsidRPr="002F1684">
        <w:rPr>
          <w:rFonts w:ascii="Arial" w:hAnsi="Arial" w:cs="Arial"/>
          <w:lang w:val="en-GB"/>
        </w:rPr>
        <w:t>Assess whether the CJEU strikes an appropriate balance</w:t>
      </w:r>
      <w:r w:rsidR="006D4F2E">
        <w:rPr>
          <w:rFonts w:ascii="Arial" w:hAnsi="Arial" w:cs="Arial"/>
          <w:lang w:val="en-GB"/>
        </w:rPr>
        <w:t>:</w:t>
      </w:r>
    </w:p>
    <w:p w14:paraId="646E7167" w14:textId="34AE808B" w:rsidR="000316A4" w:rsidRDefault="00DA3BEF" w:rsidP="006D4F2E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  <w:lang w:val="en-GB"/>
        </w:rPr>
      </w:pPr>
      <w:r w:rsidRPr="002F1684">
        <w:rPr>
          <w:rFonts w:ascii="Arial" w:hAnsi="Arial" w:cs="Arial"/>
          <w:lang w:val="en-GB"/>
        </w:rPr>
        <w:t>Strong protection of fundamental rights in Schmidberger, Omega, and Sayn-Wittgenstein</w:t>
      </w:r>
      <w:r w:rsidR="006D4F2E">
        <w:rPr>
          <w:rFonts w:ascii="Arial" w:hAnsi="Arial" w:cs="Arial"/>
          <w:lang w:val="en-GB"/>
        </w:rPr>
        <w:t>,</w:t>
      </w:r>
    </w:p>
    <w:p w14:paraId="0AB5B7BA" w14:textId="77777777" w:rsidR="000316A4" w:rsidRDefault="00DA3BEF" w:rsidP="006D4F2E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  <w:lang w:val="en-GB"/>
        </w:rPr>
      </w:pPr>
      <w:r w:rsidRPr="000316A4">
        <w:rPr>
          <w:rFonts w:ascii="Arial" w:hAnsi="Arial" w:cs="Arial"/>
          <w:lang w:val="en-GB"/>
        </w:rPr>
        <w:t>More controversial prioritisation of economic freedoms in Viking and Laval.</w:t>
      </w:r>
    </w:p>
    <w:p w14:paraId="22FAAB65" w14:textId="740D577A" w:rsidR="00DA3BEF" w:rsidRPr="000316A4" w:rsidRDefault="00DA3BEF" w:rsidP="00DA3BEF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en-GB"/>
        </w:rPr>
      </w:pPr>
      <w:r w:rsidRPr="000316A4">
        <w:rPr>
          <w:rFonts w:ascii="Arial" w:hAnsi="Arial" w:cs="Arial"/>
          <w:lang w:val="en-GB"/>
        </w:rPr>
        <w:t>Students may argue that:</w:t>
      </w:r>
      <w:r w:rsidR="000316A4">
        <w:rPr>
          <w:rFonts w:ascii="Arial" w:hAnsi="Arial" w:cs="Arial"/>
          <w:lang w:val="en-GB"/>
        </w:rPr>
        <w:t xml:space="preserve"> </w:t>
      </w:r>
      <w:r w:rsidRPr="000316A4">
        <w:rPr>
          <w:rFonts w:ascii="Arial" w:hAnsi="Arial" w:cs="Arial"/>
          <w:lang w:val="en-GB"/>
        </w:rPr>
        <w:t>the Court ensures coherence of the internal market, o</w:t>
      </w:r>
      <w:r w:rsidR="000316A4">
        <w:rPr>
          <w:rFonts w:ascii="Arial" w:hAnsi="Arial" w:cs="Arial"/>
          <w:lang w:val="en-GB"/>
        </w:rPr>
        <w:t xml:space="preserve">f </w:t>
      </w:r>
      <w:r w:rsidRPr="000316A4">
        <w:rPr>
          <w:rFonts w:ascii="Arial" w:hAnsi="Arial" w:cs="Arial"/>
          <w:lang w:val="en-GB"/>
        </w:rPr>
        <w:t>the protection of social and labour rights is insufficiently robust.</w:t>
      </w:r>
    </w:p>
    <w:p w14:paraId="0FF4EED6" w14:textId="77777777" w:rsidR="000316A4" w:rsidRDefault="00DA3BEF" w:rsidP="00DA3BE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lang w:val="en-GB"/>
        </w:rPr>
      </w:pPr>
      <w:r w:rsidRPr="000316A4">
        <w:rPr>
          <w:rFonts w:ascii="Arial" w:hAnsi="Arial" w:cs="Arial"/>
          <w:lang w:val="en-GB"/>
        </w:rPr>
        <w:t>Conclusion</w:t>
      </w:r>
    </w:p>
    <w:p w14:paraId="11374AF9" w14:textId="77777777" w:rsidR="000316A4" w:rsidRDefault="00DA3BEF" w:rsidP="00DA3BEF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en-GB"/>
        </w:rPr>
      </w:pPr>
      <w:r w:rsidRPr="000316A4">
        <w:rPr>
          <w:rFonts w:ascii="Arial" w:hAnsi="Arial" w:cs="Arial"/>
          <w:lang w:val="en-GB"/>
        </w:rPr>
        <w:t>Summarise how fundamental rights function both as:</w:t>
      </w:r>
      <w:r w:rsidR="000316A4">
        <w:rPr>
          <w:rFonts w:ascii="Arial" w:hAnsi="Arial" w:cs="Arial"/>
          <w:lang w:val="en-GB"/>
        </w:rPr>
        <w:t xml:space="preserve"> </w:t>
      </w:r>
      <w:r w:rsidRPr="000316A4">
        <w:rPr>
          <w:rFonts w:ascii="Arial" w:hAnsi="Arial" w:cs="Arial"/>
          <w:lang w:val="en-GB"/>
        </w:rPr>
        <w:t>limits to internal market freedoms, and</w:t>
      </w:r>
      <w:r w:rsidR="000316A4">
        <w:rPr>
          <w:rFonts w:ascii="Arial" w:hAnsi="Arial" w:cs="Arial"/>
          <w:lang w:val="en-GB"/>
        </w:rPr>
        <w:t xml:space="preserve"> </w:t>
      </w:r>
      <w:r w:rsidRPr="000316A4">
        <w:rPr>
          <w:rFonts w:ascii="Arial" w:hAnsi="Arial" w:cs="Arial"/>
          <w:lang w:val="en-GB"/>
        </w:rPr>
        <w:t>justifications for national restrictions.</w:t>
      </w:r>
    </w:p>
    <w:p w14:paraId="0CAF0CB3" w14:textId="4D2EA330" w:rsidR="00DA3BEF" w:rsidRPr="000316A4" w:rsidRDefault="00DA3BEF" w:rsidP="00DA3BEF">
      <w:pPr>
        <w:pStyle w:val="Odstavecseseznamem"/>
        <w:numPr>
          <w:ilvl w:val="1"/>
          <w:numId w:val="9"/>
        </w:numPr>
        <w:jc w:val="both"/>
        <w:rPr>
          <w:rFonts w:ascii="Arial" w:hAnsi="Arial" w:cs="Arial"/>
          <w:lang w:val="en-GB"/>
        </w:rPr>
      </w:pPr>
      <w:r w:rsidRPr="000316A4">
        <w:rPr>
          <w:rFonts w:ascii="Arial" w:hAnsi="Arial" w:cs="Arial"/>
          <w:lang w:val="en-GB"/>
        </w:rPr>
        <w:t>Conclude with a reasoned view on the overall coherence and legitimacy of the CJEU's balancing approach.</w:t>
      </w:r>
    </w:p>
    <w:p w14:paraId="45EF6643" w14:textId="078E59A6" w:rsidR="00DA3BEF" w:rsidRPr="00DA3BEF" w:rsidRDefault="00DA3BEF" w:rsidP="00DA3BEF">
      <w:pPr>
        <w:jc w:val="both"/>
        <w:rPr>
          <w:rFonts w:ascii="Arial" w:hAnsi="Arial" w:cs="Arial"/>
          <w:lang w:val="en-GB"/>
        </w:rPr>
      </w:pPr>
      <w:r w:rsidRPr="000316A4">
        <w:rPr>
          <w:rFonts w:ascii="Arial" w:hAnsi="Arial" w:cs="Arial"/>
          <w:b/>
          <w:bCs/>
          <w:lang w:val="en-GB"/>
        </w:rPr>
        <w:t>Assessment note:</w:t>
      </w:r>
      <w:r w:rsidR="000316A4">
        <w:rPr>
          <w:rFonts w:ascii="Arial" w:hAnsi="Arial" w:cs="Arial"/>
          <w:lang w:val="en-GB"/>
        </w:rPr>
        <w:t xml:space="preserve"> </w:t>
      </w:r>
      <w:r w:rsidRPr="00DA3BEF">
        <w:rPr>
          <w:rFonts w:ascii="Arial" w:hAnsi="Arial" w:cs="Arial"/>
          <w:lang w:val="en-GB"/>
        </w:rPr>
        <w:t>There is no single correct answer. Students are assessed on their ability to:</w:t>
      </w:r>
      <w:r w:rsidR="000316A4">
        <w:rPr>
          <w:rFonts w:ascii="Arial" w:hAnsi="Arial" w:cs="Arial"/>
          <w:lang w:val="en-GB"/>
        </w:rPr>
        <w:t xml:space="preserve"> </w:t>
      </w:r>
      <w:r w:rsidRPr="00DA3BEF">
        <w:rPr>
          <w:rFonts w:ascii="Arial" w:hAnsi="Arial" w:cs="Arial"/>
          <w:lang w:val="en-GB"/>
        </w:rPr>
        <w:t>correctly identify the legal framework under Article 6 TEU,</w:t>
      </w:r>
      <w:r w:rsidR="000316A4">
        <w:rPr>
          <w:rFonts w:ascii="Arial" w:hAnsi="Arial" w:cs="Arial"/>
          <w:lang w:val="en-GB"/>
        </w:rPr>
        <w:t xml:space="preserve"> </w:t>
      </w:r>
      <w:r w:rsidRPr="00DA3BEF">
        <w:rPr>
          <w:rFonts w:ascii="Arial" w:hAnsi="Arial" w:cs="Arial"/>
          <w:lang w:val="en-GB"/>
        </w:rPr>
        <w:t>analyse conflicts between economic freedoms and fundamental rights,</w:t>
      </w:r>
      <w:r w:rsidR="000316A4">
        <w:rPr>
          <w:rFonts w:ascii="Arial" w:hAnsi="Arial" w:cs="Arial"/>
          <w:lang w:val="en-GB"/>
        </w:rPr>
        <w:t xml:space="preserve"> </w:t>
      </w:r>
      <w:r w:rsidRPr="00DA3BEF">
        <w:rPr>
          <w:rFonts w:ascii="Arial" w:hAnsi="Arial" w:cs="Arial"/>
          <w:lang w:val="en-GB"/>
        </w:rPr>
        <w:t>apply and compare CJEU case law,</w:t>
      </w:r>
      <w:r w:rsidR="000316A4">
        <w:rPr>
          <w:rFonts w:ascii="Arial" w:hAnsi="Arial" w:cs="Arial"/>
          <w:lang w:val="en-GB"/>
        </w:rPr>
        <w:t xml:space="preserve"> and </w:t>
      </w:r>
      <w:r w:rsidRPr="00DA3BEF">
        <w:rPr>
          <w:rFonts w:ascii="Arial" w:hAnsi="Arial" w:cs="Arial"/>
          <w:lang w:val="en-GB"/>
        </w:rPr>
        <w:t>present a structured and critical legal argument.</w:t>
      </w:r>
    </w:p>
    <w:p w14:paraId="06517D40" w14:textId="0C32F062" w:rsidR="00516BDC" w:rsidRPr="00E12F09" w:rsidRDefault="00516BDC" w:rsidP="00DA3BEF">
      <w:pPr>
        <w:jc w:val="both"/>
        <w:rPr>
          <w:rFonts w:ascii="Arial" w:hAnsi="Arial" w:cs="Arial"/>
          <w:lang w:val="en-GB"/>
        </w:rPr>
      </w:pPr>
    </w:p>
    <w:sectPr w:rsidR="00516BDC" w:rsidRPr="00E12F09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C9A9" w14:textId="77777777" w:rsidR="00BC22EB" w:rsidRDefault="00BC22EB" w:rsidP="00D603FA">
      <w:pPr>
        <w:spacing w:after="0" w:line="240" w:lineRule="auto"/>
      </w:pPr>
      <w:r>
        <w:separator/>
      </w:r>
    </w:p>
  </w:endnote>
  <w:endnote w:type="continuationSeparator" w:id="0">
    <w:p w14:paraId="3FE7EADF" w14:textId="77777777" w:rsidR="00BC22EB" w:rsidRDefault="00BC22EB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000000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9858" w14:textId="77777777" w:rsidR="00BC22EB" w:rsidRDefault="00BC22EB" w:rsidP="00D603FA">
      <w:pPr>
        <w:spacing w:after="0" w:line="240" w:lineRule="auto"/>
      </w:pPr>
      <w:r>
        <w:separator/>
      </w:r>
    </w:p>
  </w:footnote>
  <w:footnote w:type="continuationSeparator" w:id="0">
    <w:p w14:paraId="3F129729" w14:textId="77777777" w:rsidR="00BC22EB" w:rsidRDefault="00BC22EB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000000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1365"/>
    <w:multiLevelType w:val="hybridMultilevel"/>
    <w:tmpl w:val="EED068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65C5"/>
    <w:multiLevelType w:val="multilevel"/>
    <w:tmpl w:val="F57E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22AC7"/>
    <w:multiLevelType w:val="multilevel"/>
    <w:tmpl w:val="8736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0387D"/>
    <w:multiLevelType w:val="multilevel"/>
    <w:tmpl w:val="4B7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76A2C"/>
    <w:multiLevelType w:val="multilevel"/>
    <w:tmpl w:val="C9E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A4181"/>
    <w:multiLevelType w:val="multilevel"/>
    <w:tmpl w:val="6B0C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13022"/>
    <w:multiLevelType w:val="hybridMultilevel"/>
    <w:tmpl w:val="787809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C5F85"/>
    <w:multiLevelType w:val="hybridMultilevel"/>
    <w:tmpl w:val="16F412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2228B"/>
    <w:multiLevelType w:val="hybridMultilevel"/>
    <w:tmpl w:val="C06A46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678">
    <w:abstractNumId w:val="3"/>
  </w:num>
  <w:num w:numId="2" w16cid:durableId="955215461">
    <w:abstractNumId w:val="4"/>
  </w:num>
  <w:num w:numId="3" w16cid:durableId="1751076289">
    <w:abstractNumId w:val="5"/>
  </w:num>
  <w:num w:numId="4" w16cid:durableId="134489697">
    <w:abstractNumId w:val="2"/>
  </w:num>
  <w:num w:numId="5" w16cid:durableId="1690908874">
    <w:abstractNumId w:val="1"/>
  </w:num>
  <w:num w:numId="6" w16cid:durableId="1196775449">
    <w:abstractNumId w:val="7"/>
  </w:num>
  <w:num w:numId="7" w16cid:durableId="1649556401">
    <w:abstractNumId w:val="6"/>
  </w:num>
  <w:num w:numId="8" w16cid:durableId="862128734">
    <w:abstractNumId w:val="0"/>
  </w:num>
  <w:num w:numId="9" w16cid:durableId="1422800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4F5C"/>
    <w:rsid w:val="00023A7D"/>
    <w:rsid w:val="000316A4"/>
    <w:rsid w:val="000712D4"/>
    <w:rsid w:val="00072C66"/>
    <w:rsid w:val="000B1F89"/>
    <w:rsid w:val="000E6DDB"/>
    <w:rsid w:val="0015425C"/>
    <w:rsid w:val="001821DD"/>
    <w:rsid w:val="00193ACB"/>
    <w:rsid w:val="00195B2D"/>
    <w:rsid w:val="00197EE3"/>
    <w:rsid w:val="001C5875"/>
    <w:rsid w:val="001D5014"/>
    <w:rsid w:val="001D7222"/>
    <w:rsid w:val="001F5613"/>
    <w:rsid w:val="00203BFE"/>
    <w:rsid w:val="002269BF"/>
    <w:rsid w:val="002471AE"/>
    <w:rsid w:val="0027661D"/>
    <w:rsid w:val="00295D67"/>
    <w:rsid w:val="002A1DCA"/>
    <w:rsid w:val="002E2AEB"/>
    <w:rsid w:val="002E4789"/>
    <w:rsid w:val="002E7BA5"/>
    <w:rsid w:val="002F1684"/>
    <w:rsid w:val="0033017C"/>
    <w:rsid w:val="00336950"/>
    <w:rsid w:val="00336CF6"/>
    <w:rsid w:val="00347B09"/>
    <w:rsid w:val="00347F8A"/>
    <w:rsid w:val="003543E2"/>
    <w:rsid w:val="00370C20"/>
    <w:rsid w:val="003F6C8E"/>
    <w:rsid w:val="003F7D0B"/>
    <w:rsid w:val="004009D0"/>
    <w:rsid w:val="00402B8E"/>
    <w:rsid w:val="00412C0C"/>
    <w:rsid w:val="004160AD"/>
    <w:rsid w:val="004E1575"/>
    <w:rsid w:val="00515760"/>
    <w:rsid w:val="00516BDC"/>
    <w:rsid w:val="00556A68"/>
    <w:rsid w:val="0057347B"/>
    <w:rsid w:val="00575F67"/>
    <w:rsid w:val="00592045"/>
    <w:rsid w:val="005D684D"/>
    <w:rsid w:val="006300BD"/>
    <w:rsid w:val="0066443E"/>
    <w:rsid w:val="00674132"/>
    <w:rsid w:val="00675730"/>
    <w:rsid w:val="006A6A34"/>
    <w:rsid w:val="006B6740"/>
    <w:rsid w:val="006D4F2E"/>
    <w:rsid w:val="006E2E03"/>
    <w:rsid w:val="0070229D"/>
    <w:rsid w:val="007022BA"/>
    <w:rsid w:val="0070382E"/>
    <w:rsid w:val="00722A5C"/>
    <w:rsid w:val="00733E4D"/>
    <w:rsid w:val="0073484C"/>
    <w:rsid w:val="00740859"/>
    <w:rsid w:val="00740B5E"/>
    <w:rsid w:val="00756262"/>
    <w:rsid w:val="007724DB"/>
    <w:rsid w:val="00792754"/>
    <w:rsid w:val="007A408B"/>
    <w:rsid w:val="007A5E40"/>
    <w:rsid w:val="007A655D"/>
    <w:rsid w:val="007C4E25"/>
    <w:rsid w:val="00807FA6"/>
    <w:rsid w:val="008144FC"/>
    <w:rsid w:val="00824116"/>
    <w:rsid w:val="008455C8"/>
    <w:rsid w:val="00891AC4"/>
    <w:rsid w:val="0089320F"/>
    <w:rsid w:val="008B79BC"/>
    <w:rsid w:val="008F7F42"/>
    <w:rsid w:val="00932327"/>
    <w:rsid w:val="00937494"/>
    <w:rsid w:val="00957616"/>
    <w:rsid w:val="00957D19"/>
    <w:rsid w:val="0097055C"/>
    <w:rsid w:val="00972A17"/>
    <w:rsid w:val="009A2B09"/>
    <w:rsid w:val="009D46F8"/>
    <w:rsid w:val="00A6107D"/>
    <w:rsid w:val="00A93FA3"/>
    <w:rsid w:val="00AA5161"/>
    <w:rsid w:val="00AB023A"/>
    <w:rsid w:val="00AC4436"/>
    <w:rsid w:val="00B021DF"/>
    <w:rsid w:val="00B45F76"/>
    <w:rsid w:val="00B915E8"/>
    <w:rsid w:val="00BA6346"/>
    <w:rsid w:val="00BB6EE4"/>
    <w:rsid w:val="00BC22EB"/>
    <w:rsid w:val="00BC50C7"/>
    <w:rsid w:val="00BD0B15"/>
    <w:rsid w:val="00BD757F"/>
    <w:rsid w:val="00BE48EB"/>
    <w:rsid w:val="00BE73DC"/>
    <w:rsid w:val="00BF14D5"/>
    <w:rsid w:val="00C15DB8"/>
    <w:rsid w:val="00C17380"/>
    <w:rsid w:val="00C278DE"/>
    <w:rsid w:val="00C45B39"/>
    <w:rsid w:val="00C71969"/>
    <w:rsid w:val="00C73F4A"/>
    <w:rsid w:val="00C8474B"/>
    <w:rsid w:val="00C8610E"/>
    <w:rsid w:val="00C91F77"/>
    <w:rsid w:val="00CB45F4"/>
    <w:rsid w:val="00CF0DE0"/>
    <w:rsid w:val="00D033C5"/>
    <w:rsid w:val="00D10C9A"/>
    <w:rsid w:val="00D252C3"/>
    <w:rsid w:val="00D335A8"/>
    <w:rsid w:val="00D506A7"/>
    <w:rsid w:val="00D56DC5"/>
    <w:rsid w:val="00D603FA"/>
    <w:rsid w:val="00D66436"/>
    <w:rsid w:val="00D7332D"/>
    <w:rsid w:val="00DA3BEF"/>
    <w:rsid w:val="00DC0D5A"/>
    <w:rsid w:val="00DC5B07"/>
    <w:rsid w:val="00DE1CD2"/>
    <w:rsid w:val="00E12F09"/>
    <w:rsid w:val="00E13788"/>
    <w:rsid w:val="00E30D13"/>
    <w:rsid w:val="00E3412F"/>
    <w:rsid w:val="00EB74C9"/>
    <w:rsid w:val="00ED5CA9"/>
    <w:rsid w:val="00F1592F"/>
    <w:rsid w:val="00F46672"/>
    <w:rsid w:val="00F47FED"/>
    <w:rsid w:val="00F5114C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7E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6D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97E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45F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D56DC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22</cp:revision>
  <cp:lastPrinted>2025-05-27T13:14:00Z</cp:lastPrinted>
  <dcterms:created xsi:type="dcterms:W3CDTF">2025-12-31T09:55:00Z</dcterms:created>
  <dcterms:modified xsi:type="dcterms:W3CDTF">2026-02-03T14:15:00Z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