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788EFD6A" w14:textId="6F002E45" w:rsidR="00197EE3" w:rsidRPr="00E12F09" w:rsidRDefault="00197EE3" w:rsidP="00CB45F4">
      <w:pPr>
        <w:jc w:val="center"/>
        <w:rPr>
          <w:rFonts w:ascii="Arial" w:hAnsi="Arial" w:cs="Arial"/>
          <w:b/>
          <w:bCs/>
          <w:lang w:val="en-GB"/>
        </w:rPr>
      </w:pPr>
      <w:r w:rsidRPr="00E12F09">
        <w:rPr>
          <w:rFonts w:ascii="Arial" w:hAnsi="Arial" w:cs="Arial"/>
          <w:b/>
          <w:bCs/>
          <w:lang w:val="en-GB"/>
        </w:rPr>
        <w:t xml:space="preserve">Answer Key – Free Movement of </w:t>
      </w:r>
      <w:r w:rsidR="005B22B4">
        <w:rPr>
          <w:rFonts w:ascii="Arial" w:hAnsi="Arial" w:cs="Arial"/>
          <w:b/>
          <w:bCs/>
          <w:lang w:val="en-GB"/>
        </w:rPr>
        <w:t>Capital and Payments</w:t>
      </w:r>
      <w:r w:rsidRPr="00E12F09">
        <w:rPr>
          <w:rFonts w:ascii="Arial" w:hAnsi="Arial" w:cs="Arial"/>
          <w:b/>
          <w:bCs/>
          <w:lang w:val="en-GB"/>
        </w:rPr>
        <w:t xml:space="preserve"> (Indicative)</w:t>
      </w:r>
    </w:p>
    <w:p w14:paraId="5E7411BE" w14:textId="77777777" w:rsidR="005B22B4" w:rsidRDefault="005B22B4" w:rsidP="005B22B4">
      <w:pPr>
        <w:jc w:val="both"/>
        <w:rPr>
          <w:rFonts w:ascii="Arial" w:hAnsi="Arial" w:cs="Arial"/>
          <w:b/>
          <w:bCs/>
          <w:lang w:val="en-GB"/>
        </w:rPr>
      </w:pPr>
    </w:p>
    <w:p w14:paraId="641AD99F" w14:textId="379807E8" w:rsidR="005B22B4" w:rsidRPr="005B22B4" w:rsidRDefault="005B22B4" w:rsidP="005B22B4">
      <w:pPr>
        <w:jc w:val="both"/>
        <w:rPr>
          <w:rFonts w:ascii="Arial" w:hAnsi="Arial" w:cs="Arial"/>
          <w:b/>
          <w:bCs/>
          <w:lang w:val="en-GB"/>
        </w:rPr>
      </w:pPr>
      <w:r w:rsidRPr="005B22B4">
        <w:rPr>
          <w:rFonts w:ascii="Arial" w:hAnsi="Arial" w:cs="Arial"/>
          <w:b/>
          <w:bCs/>
          <w:lang w:val="en-GB"/>
        </w:rPr>
        <w:t>Answer 1 - Capital vs. payments</w:t>
      </w:r>
    </w:p>
    <w:p w14:paraId="751BA511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Movements of capital involve financial investments or transfers aimed at investment or asset placement (e.g. purchase of shares, real estate, portfolio investments).</w:t>
      </w:r>
    </w:p>
    <w:p w14:paraId="40986421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Payments are transfers of money that constitute consideration for a transaction (e.g. payment for services, goods, travel expenses).</w:t>
      </w:r>
    </w:p>
    <w:p w14:paraId="31460F7F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Article 63 TFEU prohibits restrictions on both.</w:t>
      </w:r>
    </w:p>
    <w:p w14:paraId="67CD35E1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In Luisi and Carbone, the Court clarified that payments are a functional category linked to the underlying transaction, while capital movements are autonomous financial operations.</w:t>
      </w:r>
    </w:p>
    <w:p w14:paraId="34B4B9E0" w14:textId="77777777" w:rsidR="002424EA" w:rsidRDefault="002424EA" w:rsidP="005B22B4">
      <w:pPr>
        <w:jc w:val="both"/>
        <w:rPr>
          <w:rFonts w:ascii="Arial" w:hAnsi="Arial" w:cs="Arial"/>
          <w:b/>
          <w:bCs/>
          <w:lang w:val="en-GB"/>
        </w:rPr>
      </w:pPr>
    </w:p>
    <w:p w14:paraId="72292E89" w14:textId="5F254AD5" w:rsidR="005B22B4" w:rsidRPr="005B22B4" w:rsidRDefault="005B22B4" w:rsidP="005B22B4">
      <w:pPr>
        <w:jc w:val="both"/>
        <w:rPr>
          <w:rFonts w:ascii="Arial" w:hAnsi="Arial" w:cs="Arial"/>
          <w:b/>
          <w:bCs/>
          <w:lang w:val="en-GB"/>
        </w:rPr>
      </w:pPr>
      <w:r w:rsidRPr="005B22B4">
        <w:rPr>
          <w:rFonts w:ascii="Arial" w:hAnsi="Arial" w:cs="Arial"/>
          <w:b/>
          <w:bCs/>
          <w:lang w:val="en-GB"/>
        </w:rPr>
        <w:t>Answer 2 - Prior authorisation</w:t>
      </w:r>
    </w:p>
    <w:p w14:paraId="30EB3056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A system of prior authorisation for capital transfers constitutes a restriction under Article 63 TFEU.</w:t>
      </w:r>
    </w:p>
    <w:p w14:paraId="49AA22BE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In Sanz de Lera, the Court held that such systems are incompatible with EU law because they deter and delay capital movements.</w:t>
      </w:r>
    </w:p>
    <w:p w14:paraId="1F03A226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While Casati accepted limited controls during transitional periods, permanent authorisation systems are generally unlawful unless justified under exceptional Treaty provisions.</w:t>
      </w:r>
    </w:p>
    <w:p w14:paraId="34652E9E" w14:textId="77777777" w:rsidR="002424EA" w:rsidRDefault="002424EA" w:rsidP="005B22B4">
      <w:pPr>
        <w:jc w:val="both"/>
        <w:rPr>
          <w:rFonts w:ascii="Arial" w:hAnsi="Arial" w:cs="Arial"/>
          <w:b/>
          <w:bCs/>
          <w:lang w:val="en-GB"/>
        </w:rPr>
      </w:pPr>
    </w:p>
    <w:p w14:paraId="16E44908" w14:textId="144BA0D1" w:rsidR="005B22B4" w:rsidRPr="005B22B4" w:rsidRDefault="005B22B4" w:rsidP="005B22B4">
      <w:pPr>
        <w:jc w:val="both"/>
        <w:rPr>
          <w:rFonts w:ascii="Arial" w:hAnsi="Arial" w:cs="Arial"/>
          <w:b/>
          <w:bCs/>
          <w:lang w:val="en-GB"/>
        </w:rPr>
      </w:pPr>
      <w:r w:rsidRPr="005B22B4">
        <w:rPr>
          <w:rFonts w:ascii="Arial" w:hAnsi="Arial" w:cs="Arial"/>
          <w:b/>
          <w:bCs/>
          <w:lang w:val="en-GB"/>
        </w:rPr>
        <w:t>Answer 3 - Declaration obligations</w:t>
      </w:r>
    </w:p>
    <w:p w14:paraId="4ED276EC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Ex post declaration or reporting requirements may be compatible with EU law.</w:t>
      </w:r>
    </w:p>
    <w:p w14:paraId="7B290C5B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In Luisi and Carbone, the Court accepted declaration requirements aimed at monitoring compliance with national law.</w:t>
      </w:r>
    </w:p>
    <w:p w14:paraId="70CBE9FB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 xml:space="preserve">In </w:t>
      </w:r>
      <w:proofErr w:type="spellStart"/>
      <w:r w:rsidRPr="005B22B4">
        <w:rPr>
          <w:rFonts w:ascii="Arial" w:hAnsi="Arial" w:cs="Arial"/>
          <w:lang w:val="en-GB"/>
        </w:rPr>
        <w:t>Skatteverket</w:t>
      </w:r>
      <w:proofErr w:type="spellEnd"/>
      <w:r w:rsidRPr="005B22B4">
        <w:rPr>
          <w:rFonts w:ascii="Arial" w:hAnsi="Arial" w:cs="Arial"/>
          <w:lang w:val="en-GB"/>
        </w:rPr>
        <w:t>, the Court confirmed that reporting obligations can be justified by the need to combat tax evasion, provided they are proportionate and non-discriminatory.</w:t>
      </w:r>
    </w:p>
    <w:p w14:paraId="0C89D64D" w14:textId="77777777" w:rsidR="002424EA" w:rsidRDefault="002424EA" w:rsidP="005B22B4">
      <w:pPr>
        <w:jc w:val="both"/>
        <w:rPr>
          <w:rFonts w:ascii="Arial" w:hAnsi="Arial" w:cs="Arial"/>
          <w:b/>
          <w:bCs/>
          <w:lang w:val="en-GB"/>
        </w:rPr>
      </w:pPr>
    </w:p>
    <w:p w14:paraId="6D56D679" w14:textId="28BA422F" w:rsidR="005B22B4" w:rsidRPr="005B22B4" w:rsidRDefault="005B22B4" w:rsidP="005B22B4">
      <w:pPr>
        <w:jc w:val="both"/>
        <w:rPr>
          <w:rFonts w:ascii="Arial" w:hAnsi="Arial" w:cs="Arial"/>
          <w:b/>
          <w:bCs/>
          <w:lang w:val="en-GB"/>
        </w:rPr>
      </w:pPr>
      <w:r w:rsidRPr="005B22B4">
        <w:rPr>
          <w:rFonts w:ascii="Arial" w:hAnsi="Arial" w:cs="Arial"/>
          <w:b/>
          <w:bCs/>
          <w:lang w:val="en-GB"/>
        </w:rPr>
        <w:t>Answer 4 - Justifications</w:t>
      </w:r>
    </w:p>
    <w:p w14:paraId="376EE016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Examples of legitimate justifications include:</w:t>
      </w:r>
    </w:p>
    <w:p w14:paraId="339776B2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 xml:space="preserve">Prevention of tax evasion (Article 65 TFEU; </w:t>
      </w:r>
      <w:proofErr w:type="spellStart"/>
      <w:r w:rsidRPr="005B22B4">
        <w:rPr>
          <w:rFonts w:ascii="Arial" w:hAnsi="Arial" w:cs="Arial"/>
          <w:lang w:val="en-GB"/>
        </w:rPr>
        <w:t>Skatteverket</w:t>
      </w:r>
      <w:proofErr w:type="spellEnd"/>
      <w:r w:rsidRPr="005B22B4">
        <w:rPr>
          <w:rFonts w:ascii="Arial" w:hAnsi="Arial" w:cs="Arial"/>
          <w:lang w:val="en-GB"/>
        </w:rPr>
        <w:t>).</w:t>
      </w:r>
    </w:p>
    <w:p w14:paraId="54B1682C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Public policy or public security (Article 65 TFEU).</w:t>
      </w:r>
    </w:p>
    <w:p w14:paraId="34F65433" w14:textId="77777777" w:rsidR="005B22B4" w:rsidRPr="005B22B4" w:rsidRDefault="005B22B4" w:rsidP="005B22B4">
      <w:pPr>
        <w:jc w:val="both"/>
        <w:rPr>
          <w:rFonts w:ascii="Arial" w:hAnsi="Arial" w:cs="Arial"/>
          <w:lang w:val="en-GB"/>
        </w:rPr>
      </w:pPr>
      <w:r w:rsidRPr="005B22B4">
        <w:rPr>
          <w:rFonts w:ascii="Arial" w:hAnsi="Arial" w:cs="Arial"/>
          <w:lang w:val="en-GB"/>
        </w:rPr>
        <w:t>All justifications must comply with the principle of proportionality.</w:t>
      </w:r>
    </w:p>
    <w:p w14:paraId="06517D40" w14:textId="6908F7CD" w:rsidR="00516BDC" w:rsidRPr="00E12F09" w:rsidRDefault="00516BDC" w:rsidP="005B22B4">
      <w:pPr>
        <w:jc w:val="both"/>
        <w:rPr>
          <w:rFonts w:ascii="Arial" w:hAnsi="Arial" w:cs="Arial"/>
          <w:lang w:val="en-GB"/>
        </w:rPr>
      </w:pPr>
    </w:p>
    <w:sectPr w:rsidR="00516BDC" w:rsidRPr="00E12F0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B939" w14:textId="77777777" w:rsidR="00AE5C20" w:rsidRDefault="00AE5C20" w:rsidP="00D603FA">
      <w:pPr>
        <w:spacing w:after="0" w:line="240" w:lineRule="auto"/>
      </w:pPr>
      <w:r>
        <w:separator/>
      </w:r>
    </w:p>
  </w:endnote>
  <w:endnote w:type="continuationSeparator" w:id="0">
    <w:p w14:paraId="4AEB3B06" w14:textId="77777777" w:rsidR="00AE5C20" w:rsidRDefault="00AE5C20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AE5C2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6FF9" w14:textId="77777777" w:rsidR="00AE5C20" w:rsidRDefault="00AE5C20" w:rsidP="00D603FA">
      <w:pPr>
        <w:spacing w:after="0" w:line="240" w:lineRule="auto"/>
      </w:pPr>
      <w:r>
        <w:separator/>
      </w:r>
    </w:p>
  </w:footnote>
  <w:footnote w:type="continuationSeparator" w:id="0">
    <w:p w14:paraId="130D2A20" w14:textId="77777777" w:rsidR="00AE5C20" w:rsidRDefault="00AE5C20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AE5C20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365"/>
    <w:multiLevelType w:val="hybridMultilevel"/>
    <w:tmpl w:val="EED068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13022"/>
    <w:multiLevelType w:val="hybridMultilevel"/>
    <w:tmpl w:val="78780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678">
    <w:abstractNumId w:val="3"/>
  </w:num>
  <w:num w:numId="2" w16cid:durableId="955215461">
    <w:abstractNumId w:val="4"/>
  </w:num>
  <w:num w:numId="3" w16cid:durableId="1751076289">
    <w:abstractNumId w:val="5"/>
  </w:num>
  <w:num w:numId="4" w16cid:durableId="134489697">
    <w:abstractNumId w:val="2"/>
  </w:num>
  <w:num w:numId="5" w16cid:durableId="1690908874">
    <w:abstractNumId w:val="1"/>
  </w:num>
  <w:num w:numId="6" w16cid:durableId="1196775449">
    <w:abstractNumId w:val="7"/>
  </w:num>
  <w:num w:numId="7" w16cid:durableId="1649556401">
    <w:abstractNumId w:val="6"/>
  </w:num>
  <w:num w:numId="8" w16cid:durableId="86212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712D4"/>
    <w:rsid w:val="00072C66"/>
    <w:rsid w:val="000B1F89"/>
    <w:rsid w:val="000E6DDB"/>
    <w:rsid w:val="0015425C"/>
    <w:rsid w:val="001821DD"/>
    <w:rsid w:val="00193ACB"/>
    <w:rsid w:val="00195B2D"/>
    <w:rsid w:val="00197EE3"/>
    <w:rsid w:val="001C5875"/>
    <w:rsid w:val="001D5014"/>
    <w:rsid w:val="001F5613"/>
    <w:rsid w:val="00203BFE"/>
    <w:rsid w:val="002269BF"/>
    <w:rsid w:val="002424EA"/>
    <w:rsid w:val="002471AE"/>
    <w:rsid w:val="0027661D"/>
    <w:rsid w:val="00295D67"/>
    <w:rsid w:val="002A1DCA"/>
    <w:rsid w:val="002E2AEB"/>
    <w:rsid w:val="002E4789"/>
    <w:rsid w:val="002E7BA5"/>
    <w:rsid w:val="0033017C"/>
    <w:rsid w:val="00336CF6"/>
    <w:rsid w:val="00347B09"/>
    <w:rsid w:val="00347F8A"/>
    <w:rsid w:val="003543E2"/>
    <w:rsid w:val="00370C20"/>
    <w:rsid w:val="003F6C8E"/>
    <w:rsid w:val="003F7D0B"/>
    <w:rsid w:val="004009D0"/>
    <w:rsid w:val="00402B8E"/>
    <w:rsid w:val="00412C0C"/>
    <w:rsid w:val="004E1575"/>
    <w:rsid w:val="00516BDC"/>
    <w:rsid w:val="00556A68"/>
    <w:rsid w:val="0057347B"/>
    <w:rsid w:val="00575F67"/>
    <w:rsid w:val="00592045"/>
    <w:rsid w:val="005B22B4"/>
    <w:rsid w:val="005D684D"/>
    <w:rsid w:val="006300BD"/>
    <w:rsid w:val="0066443E"/>
    <w:rsid w:val="00674132"/>
    <w:rsid w:val="00675730"/>
    <w:rsid w:val="006E2E03"/>
    <w:rsid w:val="0070229D"/>
    <w:rsid w:val="007022BA"/>
    <w:rsid w:val="0070382E"/>
    <w:rsid w:val="00722A5C"/>
    <w:rsid w:val="00733E4D"/>
    <w:rsid w:val="0073484C"/>
    <w:rsid w:val="00740859"/>
    <w:rsid w:val="00740B5E"/>
    <w:rsid w:val="00756262"/>
    <w:rsid w:val="007724DB"/>
    <w:rsid w:val="00792754"/>
    <w:rsid w:val="007A408B"/>
    <w:rsid w:val="007A5E40"/>
    <w:rsid w:val="007A655D"/>
    <w:rsid w:val="007C4E25"/>
    <w:rsid w:val="00807FA6"/>
    <w:rsid w:val="00824116"/>
    <w:rsid w:val="008455C8"/>
    <w:rsid w:val="00891AC4"/>
    <w:rsid w:val="008B79BC"/>
    <w:rsid w:val="008F7F42"/>
    <w:rsid w:val="00932327"/>
    <w:rsid w:val="00937494"/>
    <w:rsid w:val="00957616"/>
    <w:rsid w:val="00957D19"/>
    <w:rsid w:val="0097055C"/>
    <w:rsid w:val="00972A17"/>
    <w:rsid w:val="009A2B09"/>
    <w:rsid w:val="009D46F8"/>
    <w:rsid w:val="00A6107D"/>
    <w:rsid w:val="00A93FA3"/>
    <w:rsid w:val="00AA5161"/>
    <w:rsid w:val="00AB023A"/>
    <w:rsid w:val="00AC4436"/>
    <w:rsid w:val="00AE5C20"/>
    <w:rsid w:val="00B021DF"/>
    <w:rsid w:val="00B45F76"/>
    <w:rsid w:val="00B915E8"/>
    <w:rsid w:val="00BA6346"/>
    <w:rsid w:val="00BB6EE4"/>
    <w:rsid w:val="00BC50C7"/>
    <w:rsid w:val="00BD0B15"/>
    <w:rsid w:val="00BD757F"/>
    <w:rsid w:val="00BE48EB"/>
    <w:rsid w:val="00BF14D5"/>
    <w:rsid w:val="00C15DB8"/>
    <w:rsid w:val="00C17380"/>
    <w:rsid w:val="00C278DE"/>
    <w:rsid w:val="00C45B39"/>
    <w:rsid w:val="00C71969"/>
    <w:rsid w:val="00C73F4A"/>
    <w:rsid w:val="00C8474B"/>
    <w:rsid w:val="00C91F77"/>
    <w:rsid w:val="00CB45F4"/>
    <w:rsid w:val="00CF0DE0"/>
    <w:rsid w:val="00D033C5"/>
    <w:rsid w:val="00D10C9A"/>
    <w:rsid w:val="00D252C3"/>
    <w:rsid w:val="00D335A8"/>
    <w:rsid w:val="00D506A7"/>
    <w:rsid w:val="00D56DC5"/>
    <w:rsid w:val="00D603FA"/>
    <w:rsid w:val="00D66436"/>
    <w:rsid w:val="00DC0D5A"/>
    <w:rsid w:val="00DC5B07"/>
    <w:rsid w:val="00DE1CD2"/>
    <w:rsid w:val="00E12F09"/>
    <w:rsid w:val="00E13788"/>
    <w:rsid w:val="00E30D13"/>
    <w:rsid w:val="00E3412F"/>
    <w:rsid w:val="00E8055D"/>
    <w:rsid w:val="00EB74C9"/>
    <w:rsid w:val="00ED5CA9"/>
    <w:rsid w:val="00F1592F"/>
    <w:rsid w:val="00F46672"/>
    <w:rsid w:val="00F47FED"/>
    <w:rsid w:val="00F5114C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D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5F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56DC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14</cp:revision>
  <cp:lastPrinted>2025-05-27T13:14:00Z</cp:lastPrinted>
  <dcterms:created xsi:type="dcterms:W3CDTF">2025-12-31T09:55:00Z</dcterms:created>
  <dcterms:modified xsi:type="dcterms:W3CDTF">2026-02-02T12:06:00Z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