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6F11FC27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Free Movement of </w:t>
      </w:r>
      <w:r w:rsidR="00802250">
        <w:rPr>
          <w:rFonts w:ascii="Arial" w:hAnsi="Arial" w:cs="Arial"/>
          <w:b/>
          <w:bCs/>
          <w:lang w:val="en-GB"/>
        </w:rPr>
        <w:t>Services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196A3CE1" w14:textId="1D40F759" w:rsidR="00D56DC5" w:rsidRPr="00D56DC5" w:rsidRDefault="00D56DC5" w:rsidP="00D56DC5">
      <w:pPr>
        <w:jc w:val="both"/>
        <w:rPr>
          <w:rFonts w:ascii="Arial" w:hAnsi="Arial" w:cs="Arial"/>
          <w:lang w:val="en-GB"/>
        </w:rPr>
      </w:pPr>
      <w:r w:rsidRPr="00D56DC5">
        <w:rPr>
          <w:rFonts w:ascii="Arial" w:hAnsi="Arial" w:cs="Arial"/>
          <w:lang w:val="en-GB"/>
        </w:rPr>
        <w:t>In their answer, the student should address the following elements in a clear and logically structured manner:</w:t>
      </w:r>
    </w:p>
    <w:p w14:paraId="2CBA2CCF" w14:textId="77777777" w:rsidR="00E30D13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Identification of the Relevant EU Legal Framework</w:t>
      </w:r>
    </w:p>
    <w:p w14:paraId="308E4BA7" w14:textId="77777777" w:rsid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Identify Article 56 TFEU as the primary Treaty provision governing the free movement of services.</w:t>
      </w:r>
    </w:p>
    <w:p w14:paraId="17FE5B53" w14:textId="77777777" w:rsid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Refer to Directive 2006/123/EC (Services Directive) and its objective of facilitating cross-border service provision within the internal market.</w:t>
      </w:r>
    </w:p>
    <w:p w14:paraId="74201D5D" w14:textId="77777777" w:rsid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Explain that the situation concerns temporary cross-border services, not permanent economic integration.</w:t>
      </w:r>
    </w:p>
    <w:p w14:paraId="39AF4A7C" w14:textId="2AC574D7" w:rsidR="00D56DC5" w:rsidRP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Acknowledge the interpretative role of the Court of Justice of the European Union (CJEU).</w:t>
      </w:r>
    </w:p>
    <w:p w14:paraId="1AD7EFE2" w14:textId="77777777" w:rsidR="00E30D13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Distinction Between Establishment and Services</w:t>
      </w:r>
    </w:p>
    <w:p w14:paraId="0DEFF9BD" w14:textId="41FC0F97" w:rsid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Explain the conceptual distinction between</w:t>
      </w:r>
      <w:r w:rsidR="00E30D13">
        <w:rPr>
          <w:rFonts w:ascii="Arial" w:hAnsi="Arial" w:cs="Arial"/>
          <w:lang w:val="en-GB"/>
        </w:rPr>
        <w:t xml:space="preserve"> </w:t>
      </w:r>
      <w:r w:rsidRPr="00E30D13">
        <w:rPr>
          <w:rFonts w:ascii="Arial" w:hAnsi="Arial" w:cs="Arial"/>
          <w:lang w:val="en-GB"/>
        </w:rPr>
        <w:t>freedom of establishment (stable and continuous participation in the economic life of a host Member State), and</w:t>
      </w:r>
      <w:r w:rsidR="00E30D13">
        <w:rPr>
          <w:rFonts w:ascii="Arial" w:hAnsi="Arial" w:cs="Arial"/>
          <w:lang w:val="en-GB"/>
        </w:rPr>
        <w:t xml:space="preserve"> </w:t>
      </w:r>
      <w:r w:rsidRPr="00E30D13">
        <w:rPr>
          <w:rFonts w:ascii="Arial" w:hAnsi="Arial" w:cs="Arial"/>
          <w:lang w:val="en-GB"/>
        </w:rPr>
        <w:t>freedom to provide services (temporary activities without permanent infrastructure).</w:t>
      </w:r>
    </w:p>
    <w:p w14:paraId="73A487DD" w14:textId="144B5F86" w:rsidR="00E30D13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Apply the criteria developed in Case C-55/94 Gebhard, in particular:</w:t>
      </w:r>
      <w:r w:rsidR="00E30D13">
        <w:rPr>
          <w:rFonts w:ascii="Arial" w:hAnsi="Arial" w:cs="Arial"/>
          <w:lang w:val="en-GB"/>
        </w:rPr>
        <w:t xml:space="preserve"> </w:t>
      </w:r>
      <w:r w:rsidRPr="00E30D13">
        <w:rPr>
          <w:rFonts w:ascii="Arial" w:hAnsi="Arial" w:cs="Arial"/>
          <w:lang w:val="en-GB"/>
        </w:rPr>
        <w:t>duration,</w:t>
      </w:r>
      <w:r w:rsidR="00E30D13">
        <w:rPr>
          <w:rFonts w:ascii="Arial" w:hAnsi="Arial" w:cs="Arial"/>
          <w:lang w:val="en-GB"/>
        </w:rPr>
        <w:t xml:space="preserve"> </w:t>
      </w:r>
      <w:r w:rsidRPr="00E30D13">
        <w:rPr>
          <w:rFonts w:ascii="Arial" w:hAnsi="Arial" w:cs="Arial"/>
          <w:lang w:val="en-GB"/>
        </w:rPr>
        <w:t>regularity,</w:t>
      </w:r>
      <w:r w:rsidR="00E30D13">
        <w:rPr>
          <w:rFonts w:ascii="Arial" w:hAnsi="Arial" w:cs="Arial"/>
          <w:lang w:val="en-GB"/>
        </w:rPr>
        <w:t xml:space="preserve"> </w:t>
      </w:r>
      <w:r w:rsidRPr="00E30D13">
        <w:rPr>
          <w:rFonts w:ascii="Arial" w:hAnsi="Arial" w:cs="Arial"/>
          <w:lang w:val="en-GB"/>
        </w:rPr>
        <w:t>periodicity,</w:t>
      </w:r>
      <w:r w:rsidR="00E30D13">
        <w:rPr>
          <w:rFonts w:ascii="Arial" w:hAnsi="Arial" w:cs="Arial"/>
          <w:lang w:val="en-GB"/>
        </w:rPr>
        <w:t xml:space="preserve"> and </w:t>
      </w:r>
      <w:r w:rsidRPr="00E30D13">
        <w:rPr>
          <w:rFonts w:ascii="Arial" w:hAnsi="Arial" w:cs="Arial"/>
          <w:lang w:val="en-GB"/>
        </w:rPr>
        <w:t>continuity of the activity.</w:t>
      </w:r>
    </w:p>
    <w:p w14:paraId="109637D0" w14:textId="77777777" w:rsidR="00C8474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E30D13">
        <w:rPr>
          <w:rFonts w:ascii="Arial" w:hAnsi="Arial" w:cs="Arial"/>
          <w:lang w:val="en-GB"/>
        </w:rPr>
        <w:t>Conclude that Anna’s activity qualifies as a cross-border service, as she provides digital consultancy from Finland without a permanent presence in Italy.</w:t>
      </w:r>
    </w:p>
    <w:p w14:paraId="2B9B12DA" w14:textId="77777777" w:rsidR="00C8474B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Identification of Restrictions on the Free Movement of Services</w:t>
      </w:r>
    </w:p>
    <w:p w14:paraId="3FF9B7D4" w14:textId="77777777" w:rsidR="00C8474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Students should assess each Italian requirement separately:</w:t>
      </w:r>
    </w:p>
    <w:p w14:paraId="121B00CD" w14:textId="0D810CA5" w:rsidR="00C8474B" w:rsidRDefault="007A408B" w:rsidP="00D56DC5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D56DC5" w:rsidRPr="00C8474B">
        <w:rPr>
          <w:rFonts w:ascii="Arial" w:hAnsi="Arial" w:cs="Arial"/>
          <w:lang w:val="en-GB"/>
        </w:rPr>
        <w:t>andatory registration in a national professional registry</w:t>
      </w:r>
    </w:p>
    <w:p w14:paraId="10974ECE" w14:textId="77777777" w:rsid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Identify this requirement as a restriction, as it subjects foreign service providers to additional administrative burdens.</w:t>
      </w:r>
    </w:p>
    <w:p w14:paraId="34EE0A05" w14:textId="6C443AF9" w:rsidR="00D56DC5" w:rsidRP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Explain that such a requirement may deter or delay the provision of cross-border services.</w:t>
      </w:r>
    </w:p>
    <w:p w14:paraId="68BE881F" w14:textId="77777777" w:rsidR="00C8474B" w:rsidRDefault="00D56DC5" w:rsidP="00D56DC5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Obligation to establish a physical office in Italy</w:t>
      </w:r>
    </w:p>
    <w:p w14:paraId="43752E23" w14:textId="62B520CF" w:rsid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Identify this as a se</w:t>
      </w:r>
      <w:r w:rsidR="007A408B">
        <w:rPr>
          <w:rFonts w:ascii="Arial" w:hAnsi="Arial" w:cs="Arial"/>
          <w:lang w:val="en-GB"/>
        </w:rPr>
        <w:t>vere</w:t>
      </w:r>
      <w:r w:rsidRPr="00C8474B">
        <w:rPr>
          <w:rFonts w:ascii="Arial" w:hAnsi="Arial" w:cs="Arial"/>
          <w:lang w:val="en-GB"/>
        </w:rPr>
        <w:t xml:space="preserve"> restriction incompatible with Article 56 TFEU.</w:t>
      </w:r>
    </w:p>
    <w:p w14:paraId="3E998425" w14:textId="59B895D1" w:rsidR="00D56DC5" w:rsidRP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Explain that forcing a service provider to establish a physical presence effectively converts a service situation into one of establishment.</w:t>
      </w:r>
    </w:p>
    <w:p w14:paraId="67CBAA81" w14:textId="77777777" w:rsidR="00C8474B" w:rsidRDefault="00D56DC5" w:rsidP="00D56DC5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€2,500 administrative fee for temporary cross-border services</w:t>
      </w:r>
    </w:p>
    <w:p w14:paraId="30CA27BE" w14:textId="77777777" w:rsid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Assess whether the fee constitutes a financial barrier to market access.</w:t>
      </w:r>
    </w:p>
    <w:p w14:paraId="4BD53185" w14:textId="51E4C470" w:rsidR="00D56DC5" w:rsidRP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Consider whether the amount is proportionate or</w:t>
      </w:r>
      <w:r w:rsidR="007A408B">
        <w:rPr>
          <w:rFonts w:ascii="Arial" w:hAnsi="Arial" w:cs="Arial"/>
          <w:lang w:val="en-GB"/>
        </w:rPr>
        <w:t>,</w:t>
      </w:r>
      <w:r w:rsidRPr="00C8474B">
        <w:rPr>
          <w:rFonts w:ascii="Arial" w:hAnsi="Arial" w:cs="Arial"/>
          <w:lang w:val="en-GB"/>
        </w:rPr>
        <w:t xml:space="preserve"> in practice</w:t>
      </w:r>
      <w:r w:rsidR="007A408B">
        <w:rPr>
          <w:rFonts w:ascii="Arial" w:hAnsi="Arial" w:cs="Arial"/>
          <w:lang w:val="en-GB"/>
        </w:rPr>
        <w:t>, discriminatory</w:t>
      </w:r>
      <w:r w:rsidRPr="00C8474B">
        <w:rPr>
          <w:rFonts w:ascii="Arial" w:hAnsi="Arial" w:cs="Arial"/>
          <w:lang w:val="en-GB"/>
        </w:rPr>
        <w:t xml:space="preserve"> against foreign providers.</w:t>
      </w:r>
    </w:p>
    <w:p w14:paraId="5EC5AD73" w14:textId="77777777" w:rsidR="00C8474B" w:rsidRDefault="00D56DC5" w:rsidP="00D56DC5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Requirement to use an Italian VAT representative</w:t>
      </w:r>
    </w:p>
    <w:p w14:paraId="362EAF7B" w14:textId="77777777" w:rsid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Identify this as an additional administrative and financial burden.</w:t>
      </w:r>
    </w:p>
    <w:p w14:paraId="7E69E5B0" w14:textId="419CC497" w:rsidR="00D56DC5" w:rsidRPr="00C8474B" w:rsidRDefault="00D56DC5" w:rsidP="00D56DC5">
      <w:pPr>
        <w:pStyle w:val="Odstavecseseznamem"/>
        <w:numPr>
          <w:ilvl w:val="3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Explain that imposing host-state VAT representation even for temporary digital services may hinder cross-border service provision.</w:t>
      </w:r>
    </w:p>
    <w:p w14:paraId="3F9D7DA9" w14:textId="77777777" w:rsidR="00D56DC5" w:rsidRPr="00D56DC5" w:rsidRDefault="00D56DC5" w:rsidP="00D56DC5">
      <w:pPr>
        <w:jc w:val="both"/>
        <w:rPr>
          <w:rFonts w:ascii="Arial" w:hAnsi="Arial" w:cs="Arial"/>
          <w:lang w:val="en-GB"/>
        </w:rPr>
      </w:pPr>
    </w:p>
    <w:p w14:paraId="0697AE63" w14:textId="77777777" w:rsidR="00C8474B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lastRenderedPageBreak/>
        <w:t>Application of Relevant Case Law</w:t>
      </w:r>
    </w:p>
    <w:p w14:paraId="746478EC" w14:textId="77777777" w:rsidR="00C8474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Refer to the CJEU’s settled case law that any national measure liable to hinder or make less attractive the exercise of the freedom to provide services constitutes a restriction, even if applied without discrimination.</w:t>
      </w:r>
    </w:p>
    <w:p w14:paraId="344AB5B2" w14:textId="66E407D9" w:rsidR="00C8474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C8474B">
        <w:rPr>
          <w:rFonts w:ascii="Arial" w:hAnsi="Arial" w:cs="Arial"/>
          <w:lang w:val="en-GB"/>
        </w:rPr>
        <w:t>Emphasise that restrictions may arise from:</w:t>
      </w:r>
      <w:r w:rsidR="00C8474B">
        <w:rPr>
          <w:rFonts w:ascii="Arial" w:hAnsi="Arial" w:cs="Arial"/>
          <w:lang w:val="en-GB"/>
        </w:rPr>
        <w:t xml:space="preserve"> </w:t>
      </w:r>
      <w:r w:rsidRPr="00C8474B">
        <w:rPr>
          <w:rFonts w:ascii="Arial" w:hAnsi="Arial" w:cs="Arial"/>
          <w:lang w:val="en-GB"/>
        </w:rPr>
        <w:t>duplicative registration requirements,</w:t>
      </w:r>
      <w:r w:rsidR="00C8474B">
        <w:rPr>
          <w:rFonts w:ascii="Arial" w:hAnsi="Arial" w:cs="Arial"/>
          <w:lang w:val="en-GB"/>
        </w:rPr>
        <w:t xml:space="preserve"> </w:t>
      </w:r>
      <w:r w:rsidRPr="00C8474B">
        <w:rPr>
          <w:rFonts w:ascii="Arial" w:hAnsi="Arial" w:cs="Arial"/>
          <w:lang w:val="en-GB"/>
        </w:rPr>
        <w:t>disproportionate administrative formalities,</w:t>
      </w:r>
      <w:r w:rsidR="00C8474B">
        <w:rPr>
          <w:rFonts w:ascii="Arial" w:hAnsi="Arial" w:cs="Arial"/>
          <w:lang w:val="en-GB"/>
        </w:rPr>
        <w:t xml:space="preserve"> </w:t>
      </w:r>
      <w:r w:rsidR="007A408B">
        <w:rPr>
          <w:rFonts w:ascii="Arial" w:hAnsi="Arial" w:cs="Arial"/>
          <w:lang w:val="en-GB"/>
        </w:rPr>
        <w:t xml:space="preserve">and </w:t>
      </w:r>
      <w:r w:rsidRPr="00C8474B">
        <w:rPr>
          <w:rFonts w:ascii="Arial" w:hAnsi="Arial" w:cs="Arial"/>
          <w:lang w:val="en-GB"/>
        </w:rPr>
        <w:t>obligations equivalent to establishment.</w:t>
      </w:r>
    </w:p>
    <w:p w14:paraId="1A62A3CD" w14:textId="77777777" w:rsidR="00C91F77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C91F77">
        <w:rPr>
          <w:rFonts w:ascii="Arial" w:hAnsi="Arial" w:cs="Arial"/>
          <w:lang w:val="en-GB"/>
        </w:rPr>
        <w:t>Justification Analysis</w:t>
      </w:r>
    </w:p>
    <w:p w14:paraId="4D7CCFCA" w14:textId="77777777" w:rsidR="00C91F77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C91F77">
        <w:rPr>
          <w:rFonts w:ascii="Arial" w:hAnsi="Arial" w:cs="Arial"/>
          <w:lang w:val="en-GB"/>
        </w:rPr>
        <w:t>For each restrictive measure, students should assess possible justifications:</w:t>
      </w:r>
    </w:p>
    <w:p w14:paraId="2FBBF7AC" w14:textId="6ED379FF" w:rsidR="00C91F77" w:rsidRDefault="00D56DC5" w:rsidP="0040141E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 w:rsidRPr="00C91F77">
        <w:rPr>
          <w:rFonts w:ascii="Arial" w:hAnsi="Arial" w:cs="Arial"/>
          <w:lang w:val="en-GB"/>
        </w:rPr>
        <w:t>Identify potential legitimate objectives, such as</w:t>
      </w:r>
      <w:r w:rsidR="00C91F77">
        <w:rPr>
          <w:rFonts w:ascii="Arial" w:hAnsi="Arial" w:cs="Arial"/>
          <w:lang w:val="en-GB"/>
        </w:rPr>
        <w:t xml:space="preserve"> </w:t>
      </w:r>
      <w:r w:rsidRPr="00C91F77">
        <w:rPr>
          <w:rFonts w:ascii="Arial" w:hAnsi="Arial" w:cs="Arial"/>
          <w:lang w:val="en-GB"/>
        </w:rPr>
        <w:t>consumer protection,</w:t>
      </w:r>
      <w:r w:rsidR="00C91F77">
        <w:rPr>
          <w:rFonts w:ascii="Arial" w:hAnsi="Arial" w:cs="Arial"/>
          <w:lang w:val="en-GB"/>
        </w:rPr>
        <w:t xml:space="preserve"> </w:t>
      </w:r>
      <w:r w:rsidRPr="00C91F77">
        <w:rPr>
          <w:rFonts w:ascii="Arial" w:hAnsi="Arial" w:cs="Arial"/>
          <w:lang w:val="en-GB"/>
        </w:rPr>
        <w:t>data protection enforcement,</w:t>
      </w:r>
      <w:r w:rsidR="00C91F77">
        <w:rPr>
          <w:rFonts w:ascii="Arial" w:hAnsi="Arial" w:cs="Arial"/>
          <w:lang w:val="en-GB"/>
        </w:rPr>
        <w:t xml:space="preserve"> </w:t>
      </w:r>
      <w:r w:rsidR="007A408B">
        <w:rPr>
          <w:rFonts w:ascii="Arial" w:hAnsi="Arial" w:cs="Arial"/>
          <w:lang w:val="en-GB"/>
        </w:rPr>
        <w:t xml:space="preserve">and </w:t>
      </w:r>
      <w:r w:rsidRPr="00C91F77">
        <w:rPr>
          <w:rFonts w:ascii="Arial" w:hAnsi="Arial" w:cs="Arial"/>
          <w:lang w:val="en-GB"/>
        </w:rPr>
        <w:t>effective supervision of professional services.</w:t>
      </w:r>
    </w:p>
    <w:p w14:paraId="0D382509" w14:textId="77777777" w:rsidR="007A408B" w:rsidRDefault="00D56DC5" w:rsidP="0040141E">
      <w:pPr>
        <w:pStyle w:val="Odstavecseseznamem"/>
        <w:numPr>
          <w:ilvl w:val="2"/>
          <w:numId w:val="8"/>
        </w:numPr>
        <w:jc w:val="both"/>
        <w:rPr>
          <w:rFonts w:ascii="Arial" w:hAnsi="Arial" w:cs="Arial"/>
          <w:lang w:val="en-GB"/>
        </w:rPr>
      </w:pPr>
      <w:r w:rsidRPr="00C91F77">
        <w:rPr>
          <w:rFonts w:ascii="Arial" w:hAnsi="Arial" w:cs="Arial"/>
          <w:lang w:val="en-GB"/>
        </w:rPr>
        <w:t>Apply the proportionality test:</w:t>
      </w:r>
      <w:r w:rsidR="00C91F77">
        <w:rPr>
          <w:rFonts w:ascii="Arial" w:hAnsi="Arial" w:cs="Arial"/>
          <w:lang w:val="en-GB"/>
        </w:rPr>
        <w:t xml:space="preserve"> </w:t>
      </w:r>
      <w:r w:rsidRPr="00C91F77">
        <w:rPr>
          <w:rFonts w:ascii="Arial" w:hAnsi="Arial" w:cs="Arial"/>
          <w:lang w:val="en-GB"/>
        </w:rPr>
        <w:t>Is the measure suitable to achieve the objective?</w:t>
      </w:r>
      <w:r w:rsidR="00C91F77">
        <w:rPr>
          <w:rFonts w:ascii="Arial" w:hAnsi="Arial" w:cs="Arial"/>
          <w:lang w:val="en-GB"/>
        </w:rPr>
        <w:t xml:space="preserve"> </w:t>
      </w:r>
      <w:r w:rsidRPr="00C91F77">
        <w:rPr>
          <w:rFonts w:ascii="Arial" w:hAnsi="Arial" w:cs="Arial"/>
          <w:lang w:val="en-GB"/>
        </w:rPr>
        <w:t>Is it necessary, or could the objective be achieved by less restrictive means?</w:t>
      </w:r>
      <w:r w:rsidR="00C91F77">
        <w:rPr>
          <w:rFonts w:ascii="Arial" w:hAnsi="Arial" w:cs="Arial"/>
          <w:lang w:val="en-GB"/>
        </w:rPr>
        <w:t xml:space="preserve"> </w:t>
      </w:r>
      <w:r w:rsidRPr="00C91F77">
        <w:rPr>
          <w:rFonts w:ascii="Arial" w:hAnsi="Arial" w:cs="Arial"/>
          <w:lang w:val="en-GB"/>
        </w:rPr>
        <w:t>Does it go beyond what is required for effective supervision?</w:t>
      </w:r>
    </w:p>
    <w:p w14:paraId="64467195" w14:textId="1F22F37A" w:rsidR="00D56DC5" w:rsidRPr="007A408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7A408B">
        <w:rPr>
          <w:rFonts w:ascii="Arial" w:hAnsi="Arial" w:cs="Arial"/>
          <w:lang w:val="en-GB"/>
        </w:rPr>
        <w:t>Students should conclude, in particular, that</w:t>
      </w:r>
      <w:r w:rsidR="007A408B">
        <w:rPr>
          <w:rFonts w:ascii="Arial" w:hAnsi="Arial" w:cs="Arial"/>
          <w:lang w:val="en-GB"/>
        </w:rPr>
        <w:t xml:space="preserve"> </w:t>
      </w:r>
      <w:r w:rsidRPr="007A408B">
        <w:rPr>
          <w:rFonts w:ascii="Arial" w:hAnsi="Arial" w:cs="Arial"/>
          <w:lang w:val="en-GB"/>
        </w:rPr>
        <w:t>an obligation to establish a physical office is unlikely to be proportionate,</w:t>
      </w:r>
      <w:r w:rsidR="007A408B">
        <w:rPr>
          <w:rFonts w:ascii="Arial" w:hAnsi="Arial" w:cs="Arial"/>
          <w:lang w:val="en-GB"/>
        </w:rPr>
        <w:t xml:space="preserve"> </w:t>
      </w:r>
      <w:r w:rsidRPr="007A408B">
        <w:rPr>
          <w:rFonts w:ascii="Arial" w:hAnsi="Arial" w:cs="Arial"/>
          <w:lang w:val="en-GB"/>
        </w:rPr>
        <w:t>blanket fees and registry requirements require careful justification and individual assessment,</w:t>
      </w:r>
      <w:r w:rsidR="007A408B">
        <w:rPr>
          <w:rFonts w:ascii="Arial" w:hAnsi="Arial" w:cs="Arial"/>
          <w:lang w:val="en-GB"/>
        </w:rPr>
        <w:t xml:space="preserve"> </w:t>
      </w:r>
      <w:r w:rsidRPr="007A408B">
        <w:rPr>
          <w:rFonts w:ascii="Arial" w:hAnsi="Arial" w:cs="Arial"/>
          <w:lang w:val="en-GB"/>
        </w:rPr>
        <w:t>alternative mechanisms (home-state supervision, cooperation between authorities) may be less restrictive.</w:t>
      </w:r>
    </w:p>
    <w:p w14:paraId="7FD31E6C" w14:textId="77777777" w:rsidR="007A408B" w:rsidRDefault="00D56DC5" w:rsidP="00D56DC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lang w:val="en-GB"/>
        </w:rPr>
      </w:pPr>
      <w:r w:rsidRPr="007A408B">
        <w:rPr>
          <w:rFonts w:ascii="Arial" w:hAnsi="Arial" w:cs="Arial"/>
          <w:lang w:val="en-GB"/>
        </w:rPr>
        <w:t>Overall Assessment and Conclusion</w:t>
      </w:r>
    </w:p>
    <w:p w14:paraId="7CF4A16F" w14:textId="77777777" w:rsidR="007A408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7A408B">
        <w:rPr>
          <w:rFonts w:ascii="Arial" w:hAnsi="Arial" w:cs="Arial"/>
          <w:lang w:val="en-GB"/>
        </w:rPr>
        <w:t>Provide a reasoned overall assessment identifying which Italian requirements:</w:t>
      </w:r>
      <w:r w:rsidR="007A408B">
        <w:rPr>
          <w:rFonts w:ascii="Arial" w:hAnsi="Arial" w:cs="Arial"/>
          <w:lang w:val="en-GB"/>
        </w:rPr>
        <w:t xml:space="preserve"> </w:t>
      </w:r>
      <w:r w:rsidRPr="007A408B">
        <w:rPr>
          <w:rFonts w:ascii="Arial" w:hAnsi="Arial" w:cs="Arial"/>
          <w:lang w:val="en-GB"/>
        </w:rPr>
        <w:t>clearly infringe Article 56 TFEU,</w:t>
      </w:r>
      <w:r w:rsidR="007A408B">
        <w:rPr>
          <w:rFonts w:ascii="Arial" w:hAnsi="Arial" w:cs="Arial"/>
          <w:lang w:val="en-GB"/>
        </w:rPr>
        <w:t xml:space="preserve"> </w:t>
      </w:r>
      <w:r w:rsidRPr="007A408B">
        <w:rPr>
          <w:rFonts w:ascii="Arial" w:hAnsi="Arial" w:cs="Arial"/>
          <w:lang w:val="en-GB"/>
        </w:rPr>
        <w:t>may potentially be justified, subject to strict proportionality review.</w:t>
      </w:r>
    </w:p>
    <w:p w14:paraId="06E03B40" w14:textId="6D44A180" w:rsidR="00D56DC5" w:rsidRPr="007A408B" w:rsidRDefault="00D56DC5" w:rsidP="00D56DC5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lang w:val="en-GB"/>
        </w:rPr>
      </w:pPr>
      <w:r w:rsidRPr="007A408B">
        <w:rPr>
          <w:rFonts w:ascii="Arial" w:hAnsi="Arial" w:cs="Arial"/>
          <w:lang w:val="en-GB"/>
        </w:rPr>
        <w:t>Conclude that Anna’s argument that the Italian rules violate EU law is largely well-founded, especially as regards requirements effectively forcing establishment.</w:t>
      </w:r>
    </w:p>
    <w:p w14:paraId="3D2E9C26" w14:textId="6F557F55" w:rsidR="00516BDC" w:rsidRPr="00E12F09" w:rsidRDefault="00D56DC5" w:rsidP="00D56DC5">
      <w:pPr>
        <w:jc w:val="both"/>
        <w:rPr>
          <w:rFonts w:ascii="Arial" w:hAnsi="Arial" w:cs="Arial"/>
          <w:lang w:val="en-GB"/>
        </w:rPr>
      </w:pPr>
      <w:r w:rsidRPr="007A408B">
        <w:rPr>
          <w:rFonts w:ascii="Arial" w:hAnsi="Arial" w:cs="Arial"/>
          <w:b/>
          <w:bCs/>
          <w:lang w:val="en-GB"/>
        </w:rPr>
        <w:t>Assessment note:</w:t>
      </w:r>
      <w:r w:rsidR="007A408B">
        <w:rPr>
          <w:rFonts w:ascii="Arial" w:hAnsi="Arial" w:cs="Arial"/>
          <w:lang w:val="en-GB"/>
        </w:rPr>
        <w:t xml:space="preserve"> </w:t>
      </w:r>
      <w:r w:rsidRPr="00D56DC5">
        <w:rPr>
          <w:rFonts w:ascii="Arial" w:hAnsi="Arial" w:cs="Arial"/>
          <w:lang w:val="en-GB"/>
        </w:rPr>
        <w:t>There is no single correct outcome. Students are assessed on their ability to</w:t>
      </w:r>
      <w:r w:rsidR="007A408B">
        <w:rPr>
          <w:rFonts w:ascii="Arial" w:hAnsi="Arial" w:cs="Arial"/>
          <w:lang w:val="en-GB"/>
        </w:rPr>
        <w:t xml:space="preserve"> </w:t>
      </w:r>
      <w:r w:rsidRPr="00D56DC5">
        <w:rPr>
          <w:rFonts w:ascii="Arial" w:hAnsi="Arial" w:cs="Arial"/>
          <w:lang w:val="en-GB"/>
        </w:rPr>
        <w:t>correctly distinguish between establishment and services,</w:t>
      </w:r>
      <w:r w:rsidR="007A408B">
        <w:rPr>
          <w:rFonts w:ascii="Arial" w:hAnsi="Arial" w:cs="Arial"/>
          <w:lang w:val="en-GB"/>
        </w:rPr>
        <w:t xml:space="preserve"> </w:t>
      </w:r>
      <w:r w:rsidRPr="00D56DC5">
        <w:rPr>
          <w:rFonts w:ascii="Arial" w:hAnsi="Arial" w:cs="Arial"/>
          <w:lang w:val="en-GB"/>
        </w:rPr>
        <w:t>identify and analyse restrictions on the free movement of services,</w:t>
      </w:r>
      <w:r w:rsidR="007A408B">
        <w:rPr>
          <w:rFonts w:ascii="Arial" w:hAnsi="Arial" w:cs="Arial"/>
          <w:lang w:val="en-GB"/>
        </w:rPr>
        <w:t xml:space="preserve"> </w:t>
      </w:r>
      <w:r w:rsidRPr="00D56DC5">
        <w:rPr>
          <w:rFonts w:ascii="Arial" w:hAnsi="Arial" w:cs="Arial"/>
          <w:lang w:val="en-GB"/>
        </w:rPr>
        <w:t>apply relevant CJEU case law,</w:t>
      </w:r>
      <w:r w:rsidR="007A408B">
        <w:rPr>
          <w:rFonts w:ascii="Arial" w:hAnsi="Arial" w:cs="Arial"/>
          <w:lang w:val="en-GB"/>
        </w:rPr>
        <w:t xml:space="preserve"> </w:t>
      </w:r>
      <w:r w:rsidRPr="00D56DC5">
        <w:rPr>
          <w:rFonts w:ascii="Arial" w:hAnsi="Arial" w:cs="Arial"/>
          <w:lang w:val="en-GB"/>
        </w:rPr>
        <w:t>conduct a structured justification and proportionality analysis,</w:t>
      </w:r>
      <w:r w:rsidR="007A408B">
        <w:rPr>
          <w:rFonts w:ascii="Arial" w:hAnsi="Arial" w:cs="Arial"/>
          <w:lang w:val="en-GB"/>
        </w:rPr>
        <w:t xml:space="preserve"> and </w:t>
      </w:r>
      <w:r w:rsidRPr="00D56DC5">
        <w:rPr>
          <w:rFonts w:ascii="Arial" w:hAnsi="Arial" w:cs="Arial"/>
          <w:lang w:val="en-GB"/>
        </w:rPr>
        <w:t>present a coherent and legally reasoned conclusion.</w:t>
      </w:r>
    </w:p>
    <w:p w14:paraId="06517D40" w14:textId="77777777" w:rsidR="00516BDC" w:rsidRPr="00E12F09" w:rsidRDefault="00516BDC" w:rsidP="00CB45F4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CD15" w14:textId="77777777" w:rsidR="00957DA0" w:rsidRDefault="00957DA0" w:rsidP="00D603FA">
      <w:pPr>
        <w:spacing w:after="0" w:line="240" w:lineRule="auto"/>
      </w:pPr>
      <w:r>
        <w:separator/>
      </w:r>
    </w:p>
  </w:endnote>
  <w:endnote w:type="continuationSeparator" w:id="0">
    <w:p w14:paraId="19E4F022" w14:textId="77777777" w:rsidR="00957DA0" w:rsidRDefault="00957DA0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5A46" w14:textId="77777777" w:rsidR="00957DA0" w:rsidRDefault="00957DA0" w:rsidP="00D603FA">
      <w:pPr>
        <w:spacing w:after="0" w:line="240" w:lineRule="auto"/>
      </w:pPr>
      <w:r>
        <w:separator/>
      </w:r>
    </w:p>
  </w:footnote>
  <w:footnote w:type="continuationSeparator" w:id="0">
    <w:p w14:paraId="4DED70D7" w14:textId="77777777" w:rsidR="00957DA0" w:rsidRDefault="00957DA0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00000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5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7"/>
  </w:num>
  <w:num w:numId="7" w16cid:durableId="1649556401">
    <w:abstractNumId w:val="6"/>
  </w:num>
  <w:num w:numId="8" w16cid:durableId="86212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2AEB"/>
    <w:rsid w:val="002E4789"/>
    <w:rsid w:val="002E7BA5"/>
    <w:rsid w:val="0033017C"/>
    <w:rsid w:val="00336CF6"/>
    <w:rsid w:val="00347B09"/>
    <w:rsid w:val="00347F8A"/>
    <w:rsid w:val="003543E2"/>
    <w:rsid w:val="00370C20"/>
    <w:rsid w:val="003D1F0C"/>
    <w:rsid w:val="003F6C8E"/>
    <w:rsid w:val="003F7D0B"/>
    <w:rsid w:val="004009D0"/>
    <w:rsid w:val="0040141E"/>
    <w:rsid w:val="00402B8E"/>
    <w:rsid w:val="00412C0C"/>
    <w:rsid w:val="004E1575"/>
    <w:rsid w:val="00516BDC"/>
    <w:rsid w:val="00556A68"/>
    <w:rsid w:val="0057347B"/>
    <w:rsid w:val="00575F67"/>
    <w:rsid w:val="00592045"/>
    <w:rsid w:val="005D684D"/>
    <w:rsid w:val="006300BD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408B"/>
    <w:rsid w:val="007A5E40"/>
    <w:rsid w:val="007A655D"/>
    <w:rsid w:val="007C4E25"/>
    <w:rsid w:val="00802250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57DA0"/>
    <w:rsid w:val="0097055C"/>
    <w:rsid w:val="00972A17"/>
    <w:rsid w:val="009A0A1D"/>
    <w:rsid w:val="009A2B09"/>
    <w:rsid w:val="009B5F0A"/>
    <w:rsid w:val="009D46F8"/>
    <w:rsid w:val="00A6107D"/>
    <w:rsid w:val="00A93FA3"/>
    <w:rsid w:val="00AA5161"/>
    <w:rsid w:val="00AB023A"/>
    <w:rsid w:val="00AB0CBC"/>
    <w:rsid w:val="00AC4436"/>
    <w:rsid w:val="00B021DF"/>
    <w:rsid w:val="00B45F76"/>
    <w:rsid w:val="00B915E8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030"/>
    <w:rsid w:val="00D56DC5"/>
    <w:rsid w:val="00D603FA"/>
    <w:rsid w:val="00D66436"/>
    <w:rsid w:val="00DC0D5A"/>
    <w:rsid w:val="00DC5B07"/>
    <w:rsid w:val="00DE1CD2"/>
    <w:rsid w:val="00E12F09"/>
    <w:rsid w:val="00E13788"/>
    <w:rsid w:val="00E30D13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15</cp:revision>
  <cp:lastPrinted>2025-05-27T13:14:00Z</cp:lastPrinted>
  <dcterms:created xsi:type="dcterms:W3CDTF">2025-12-31T09:55:00Z</dcterms:created>
  <dcterms:modified xsi:type="dcterms:W3CDTF">2026-02-03T14:19:00Z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