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6EBFE1F6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Free Movement of </w:t>
      </w:r>
      <w:r w:rsidR="00BC50C7">
        <w:rPr>
          <w:rFonts w:ascii="Arial" w:hAnsi="Arial" w:cs="Arial"/>
          <w:b/>
          <w:bCs/>
          <w:lang w:val="en-GB"/>
        </w:rPr>
        <w:t>Workers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3EB7C80C" w14:textId="77777777" w:rsidR="00DC0D5A" w:rsidRPr="00DC0D5A" w:rsidRDefault="00DC0D5A" w:rsidP="00DC0D5A">
      <w:pPr>
        <w:jc w:val="both"/>
        <w:rPr>
          <w:rFonts w:ascii="Arial" w:hAnsi="Arial" w:cs="Arial"/>
          <w:lang w:val="en-GB"/>
        </w:rPr>
      </w:pPr>
      <w:r w:rsidRPr="00DC0D5A">
        <w:rPr>
          <w:rFonts w:ascii="Arial" w:hAnsi="Arial" w:cs="Arial"/>
          <w:lang w:val="en-GB"/>
        </w:rPr>
        <w:t>In their case brief, the student should address the following elements in a clear and structured manner:</w:t>
      </w:r>
    </w:p>
    <w:p w14:paraId="0D04BF60" w14:textId="77777777" w:rsidR="00DC0D5A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DC0D5A">
        <w:rPr>
          <w:rFonts w:ascii="Arial" w:hAnsi="Arial" w:cs="Arial"/>
          <w:lang w:val="en-GB"/>
        </w:rPr>
        <w:t>Identification of the Case</w:t>
      </w:r>
    </w:p>
    <w:p w14:paraId="6AE9AA62" w14:textId="77777777" w:rsidR="00DC0D5A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DC0D5A">
        <w:rPr>
          <w:rFonts w:ascii="Arial" w:hAnsi="Arial" w:cs="Arial"/>
          <w:lang w:val="en-GB"/>
        </w:rPr>
        <w:t>Full case reference: C-415/93, Bosman.</w:t>
      </w:r>
    </w:p>
    <w:p w14:paraId="79644DB2" w14:textId="77777777" w:rsidR="00DC0D5A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DC0D5A">
        <w:rPr>
          <w:rFonts w:ascii="Arial" w:hAnsi="Arial" w:cs="Arial"/>
          <w:lang w:val="en-GB"/>
        </w:rPr>
        <w:t>Court: Court of Justice of the European Union.</w:t>
      </w:r>
    </w:p>
    <w:p w14:paraId="4A6AB402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DC0D5A">
        <w:rPr>
          <w:rFonts w:ascii="Arial" w:hAnsi="Arial" w:cs="Arial"/>
          <w:lang w:val="en-GB"/>
        </w:rPr>
        <w:t>Year of judgment: 1995.</w:t>
      </w:r>
    </w:p>
    <w:p w14:paraId="34CC3649" w14:textId="515F2712" w:rsidR="00DC0D5A" w:rsidRP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Legal area: Free movement of workers (Article 45 TFEU) and EU competition law (secondary aspect).</w:t>
      </w:r>
    </w:p>
    <w:p w14:paraId="3108822B" w14:textId="77777777" w:rsidR="002E2AEB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Facts of the Case</w:t>
      </w:r>
    </w:p>
    <w:p w14:paraId="163CB80D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Identify Jean-Marc Bosman as a professional football player whose contract had expired.</w:t>
      </w:r>
    </w:p>
    <w:p w14:paraId="4030E8D7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Explain the transfer system requiring payment of a transfer fee even after the expiry of the player’s contract.</w:t>
      </w:r>
    </w:p>
    <w:p w14:paraId="12AE9ADC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Describe the nationality quotas imposed by football associations on EU players.</w:t>
      </w:r>
    </w:p>
    <w:p w14:paraId="13056469" w14:textId="64790B2D" w:rsidR="00DC0D5A" w:rsidRP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Indicate how these rules affected Bosman’s ability to move to a club in another Member State.</w:t>
      </w:r>
    </w:p>
    <w:p w14:paraId="7A763D20" w14:textId="77777777" w:rsidR="002E2AEB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Legal Issues</w:t>
      </w:r>
    </w:p>
    <w:p w14:paraId="2182E01A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Whether transfer rules applicable after the expiry of a contract constitute a restriction on the free movement of workers.</w:t>
      </w:r>
    </w:p>
    <w:p w14:paraId="60E78191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Whether nationality quotas for EU citizens are compatible with Article 45 TFEU.</w:t>
      </w:r>
    </w:p>
    <w:p w14:paraId="32387C52" w14:textId="43FF2BE9" w:rsidR="00DC0D5A" w:rsidRP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The relevance of arguments based on</w:t>
      </w:r>
      <w:r w:rsidR="002E2AEB">
        <w:rPr>
          <w:rFonts w:ascii="Arial" w:hAnsi="Arial" w:cs="Arial"/>
          <w:lang w:val="en-GB"/>
        </w:rPr>
        <w:t xml:space="preserve"> </w:t>
      </w:r>
      <w:r w:rsidRPr="002E2AEB">
        <w:rPr>
          <w:rFonts w:ascii="Arial" w:hAnsi="Arial" w:cs="Arial"/>
          <w:lang w:val="en-GB"/>
        </w:rPr>
        <w:t>the specific nature of sport,</w:t>
      </w:r>
      <w:r w:rsidR="002E2AEB">
        <w:rPr>
          <w:rFonts w:ascii="Arial" w:hAnsi="Arial" w:cs="Arial"/>
          <w:lang w:val="en-GB"/>
        </w:rPr>
        <w:t xml:space="preserve"> </w:t>
      </w:r>
      <w:r w:rsidRPr="002E2AEB">
        <w:rPr>
          <w:rFonts w:ascii="Arial" w:hAnsi="Arial" w:cs="Arial"/>
          <w:lang w:val="en-GB"/>
        </w:rPr>
        <w:t>maintaining competitive balance,</w:t>
      </w:r>
      <w:r w:rsidR="002E2AEB">
        <w:rPr>
          <w:rFonts w:ascii="Arial" w:hAnsi="Arial" w:cs="Arial"/>
          <w:lang w:val="en-GB"/>
        </w:rPr>
        <w:t xml:space="preserve"> </w:t>
      </w:r>
      <w:r w:rsidRPr="002E2AEB">
        <w:rPr>
          <w:rFonts w:ascii="Arial" w:hAnsi="Arial" w:cs="Arial"/>
          <w:lang w:val="en-GB"/>
        </w:rPr>
        <w:t>encouraging youth training.</w:t>
      </w:r>
    </w:p>
    <w:p w14:paraId="6E68DCEF" w14:textId="77777777" w:rsidR="002E2AEB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Applicable EU Law</w:t>
      </w:r>
    </w:p>
    <w:p w14:paraId="709D9484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Article 45 TFEU (free movement of workers and prohibition of discrimination based on nationality).</w:t>
      </w:r>
    </w:p>
    <w:p w14:paraId="2B3CEE9D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General principles of EU law concerning restrictions on fundamental freedoms.</w:t>
      </w:r>
    </w:p>
    <w:p w14:paraId="6E859D3A" w14:textId="4A07E083" w:rsidR="00DC0D5A" w:rsidRP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Optional reference to competition law provisions (Articles 101 and 102 TFEU), without detailed analysis being required.</w:t>
      </w:r>
    </w:p>
    <w:p w14:paraId="59D701D3" w14:textId="77777777" w:rsidR="002E2AEB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Reasoning of the Court</w:t>
      </w:r>
    </w:p>
    <w:p w14:paraId="2614E0DA" w14:textId="77777777" w:rsidR="002E2AEB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Explain why professional football constitutes an economic activity falling within the scope of EU law.</w:t>
      </w:r>
    </w:p>
    <w:p w14:paraId="60125C6F" w14:textId="6CE8C662" w:rsid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2E2AEB">
        <w:rPr>
          <w:rFonts w:ascii="Arial" w:hAnsi="Arial" w:cs="Arial"/>
          <w:lang w:val="en-GB"/>
        </w:rPr>
        <w:t>Clarify that:</w:t>
      </w:r>
      <w:r w:rsidR="002E2AEB">
        <w:rPr>
          <w:rFonts w:ascii="Arial" w:hAnsi="Arial" w:cs="Arial"/>
          <w:lang w:val="en-GB"/>
        </w:rPr>
        <w:t xml:space="preserve"> </w:t>
      </w:r>
      <w:r w:rsidRPr="002E2AEB">
        <w:rPr>
          <w:rFonts w:ascii="Arial" w:hAnsi="Arial" w:cs="Arial"/>
          <w:lang w:val="en-GB"/>
        </w:rPr>
        <w:t xml:space="preserve">post-contract transfer fees restrict a player’s access to employment in another Member </w:t>
      </w:r>
      <w:r w:rsidR="00634CAB" w:rsidRPr="002E2AEB">
        <w:rPr>
          <w:rFonts w:ascii="Arial" w:hAnsi="Arial" w:cs="Arial"/>
          <w:lang w:val="en-GB"/>
        </w:rPr>
        <w:t>State;</w:t>
      </w:r>
      <w:r w:rsidR="002E2AEB">
        <w:rPr>
          <w:rFonts w:ascii="Arial" w:hAnsi="Arial" w:cs="Arial"/>
          <w:lang w:val="en-GB"/>
        </w:rPr>
        <w:t xml:space="preserve"> </w:t>
      </w:r>
      <w:r w:rsidRPr="002E2AEB">
        <w:rPr>
          <w:rFonts w:ascii="Arial" w:hAnsi="Arial" w:cs="Arial"/>
          <w:lang w:val="en-GB"/>
        </w:rPr>
        <w:t>nationality quotas directly discriminate on grounds of nationality.</w:t>
      </w:r>
    </w:p>
    <w:p w14:paraId="1668D015" w14:textId="77777777" w:rsid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Assess the Court’s treatment of the justifications put forward: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recognition of legitimate objectives,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rejection of the proportionality of the measures used to achieve them.</w:t>
      </w:r>
    </w:p>
    <w:p w14:paraId="10CBD70E" w14:textId="77777777" w:rsidR="00756262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Judgment / Holding</w:t>
      </w:r>
    </w:p>
    <w:p w14:paraId="1CBEA533" w14:textId="77777777" w:rsid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The Court held that: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transfer fees payable after the expiry of a contract are incompatible with Article 45 TFEU,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nationality quotas limiting the number of EU players are contrary to EU law.</w:t>
      </w:r>
    </w:p>
    <w:p w14:paraId="18111E09" w14:textId="28C4B0C8" w:rsidR="00DC0D5A" w:rsidRP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Emphasise the direct effect of Article 45 TFEU in this context.</w:t>
      </w:r>
    </w:p>
    <w:p w14:paraId="63BA0A92" w14:textId="77777777" w:rsidR="00DC0D5A" w:rsidRPr="00DC0D5A" w:rsidRDefault="00DC0D5A" w:rsidP="00DC0D5A">
      <w:pPr>
        <w:jc w:val="both"/>
        <w:rPr>
          <w:rFonts w:ascii="Arial" w:hAnsi="Arial" w:cs="Arial"/>
          <w:lang w:val="en-GB"/>
        </w:rPr>
      </w:pPr>
    </w:p>
    <w:p w14:paraId="25F8850E" w14:textId="77777777" w:rsidR="00756262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lastRenderedPageBreak/>
        <w:t>Significance of the Judgment</w:t>
      </w:r>
    </w:p>
    <w:p w14:paraId="691545E5" w14:textId="77777777" w:rsid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Explain the impact of the Bosman ruling on: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professional football and transfer systems,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the broader application of EU free movement rules to sport.</w:t>
      </w:r>
    </w:p>
    <w:p w14:paraId="6D988EA5" w14:textId="1110E538" w:rsidR="00DC0D5A" w:rsidRP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Highlight Bosman as a landmark case confirming that</w:t>
      </w:r>
      <w:r w:rsidR="00756262">
        <w:rPr>
          <w:rFonts w:ascii="Arial" w:hAnsi="Arial" w:cs="Arial"/>
          <w:lang w:val="en-GB"/>
        </w:rPr>
        <w:t xml:space="preserve"> </w:t>
      </w:r>
      <w:r w:rsidRPr="00756262">
        <w:rPr>
          <w:rFonts w:ascii="Arial" w:hAnsi="Arial" w:cs="Arial"/>
          <w:lang w:val="en-GB"/>
        </w:rPr>
        <w:t>sporting rules are subject to EU law where they regulate economic activity.</w:t>
      </w:r>
    </w:p>
    <w:p w14:paraId="057A40BF" w14:textId="77777777" w:rsidR="00756262" w:rsidRDefault="00DC0D5A" w:rsidP="00DC0D5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Conclusion</w:t>
      </w:r>
    </w:p>
    <w:p w14:paraId="59C3DDAF" w14:textId="77777777" w:rsid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Provide a concise summary of why Bosman represents a key precedent in free movement of workers jurisprudence.</w:t>
      </w:r>
    </w:p>
    <w:p w14:paraId="6CB76C4C" w14:textId="77777777" w:rsidR="00756262" w:rsidRDefault="00DC0D5A" w:rsidP="00DC0D5A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lang w:val="en-GB"/>
        </w:rPr>
        <w:t>Link the case to the broader development of EU internal market law.</w:t>
      </w:r>
    </w:p>
    <w:p w14:paraId="3D2E9C26" w14:textId="637F0196" w:rsidR="00516BDC" w:rsidRPr="00E12F09" w:rsidRDefault="00DC0D5A" w:rsidP="00DC0D5A">
      <w:pPr>
        <w:jc w:val="both"/>
        <w:rPr>
          <w:rFonts w:ascii="Arial" w:hAnsi="Arial" w:cs="Arial"/>
          <w:lang w:val="en-GB"/>
        </w:rPr>
      </w:pPr>
      <w:r w:rsidRPr="00756262">
        <w:rPr>
          <w:rFonts w:ascii="Arial" w:hAnsi="Arial" w:cs="Arial"/>
          <w:b/>
          <w:bCs/>
          <w:lang w:val="en-GB"/>
        </w:rPr>
        <w:t>Assessment note:</w:t>
      </w:r>
      <w:r w:rsidR="00756262">
        <w:rPr>
          <w:rFonts w:ascii="Arial" w:hAnsi="Arial" w:cs="Arial"/>
          <w:lang w:val="en-GB"/>
        </w:rPr>
        <w:t xml:space="preserve"> </w:t>
      </w:r>
      <w:r w:rsidRPr="00DC0D5A">
        <w:rPr>
          <w:rFonts w:ascii="Arial" w:hAnsi="Arial" w:cs="Arial"/>
          <w:lang w:val="en-GB"/>
        </w:rPr>
        <w:t>Students are not assessed on stylistic uniformity but on their ability to:</w:t>
      </w:r>
      <w:r w:rsidR="00756262">
        <w:rPr>
          <w:rFonts w:ascii="Arial" w:hAnsi="Arial" w:cs="Arial"/>
          <w:lang w:val="en-GB"/>
        </w:rPr>
        <w:t xml:space="preserve"> </w:t>
      </w:r>
      <w:r w:rsidRPr="00DC0D5A">
        <w:rPr>
          <w:rFonts w:ascii="Arial" w:hAnsi="Arial" w:cs="Arial"/>
          <w:lang w:val="en-GB"/>
        </w:rPr>
        <w:t>accurately summarise the facts and legal issues,</w:t>
      </w:r>
      <w:r w:rsidR="00756262">
        <w:rPr>
          <w:rFonts w:ascii="Arial" w:hAnsi="Arial" w:cs="Arial"/>
          <w:lang w:val="en-GB"/>
        </w:rPr>
        <w:t xml:space="preserve"> </w:t>
      </w:r>
      <w:r w:rsidRPr="00DC0D5A">
        <w:rPr>
          <w:rFonts w:ascii="Arial" w:hAnsi="Arial" w:cs="Arial"/>
          <w:lang w:val="en-GB"/>
        </w:rPr>
        <w:t>correctly identify and apply relevant EU law,</w:t>
      </w:r>
      <w:r w:rsidR="00756262">
        <w:rPr>
          <w:rFonts w:ascii="Arial" w:hAnsi="Arial" w:cs="Arial"/>
          <w:lang w:val="en-GB"/>
        </w:rPr>
        <w:t xml:space="preserve"> </w:t>
      </w:r>
      <w:r w:rsidRPr="00DC0D5A">
        <w:rPr>
          <w:rFonts w:ascii="Arial" w:hAnsi="Arial" w:cs="Arial"/>
          <w:lang w:val="en-GB"/>
        </w:rPr>
        <w:t>clearly explain the Court’s reasoning and holding,</w:t>
      </w:r>
      <w:r w:rsidR="00756262">
        <w:rPr>
          <w:rFonts w:ascii="Arial" w:hAnsi="Arial" w:cs="Arial"/>
          <w:lang w:val="en-GB"/>
        </w:rPr>
        <w:t xml:space="preserve"> and </w:t>
      </w:r>
      <w:r w:rsidRPr="00DC0D5A">
        <w:rPr>
          <w:rFonts w:ascii="Arial" w:hAnsi="Arial" w:cs="Arial"/>
          <w:lang w:val="en-GB"/>
        </w:rPr>
        <w:t>present the case in a structured and concise case-brief format.</w:t>
      </w:r>
    </w:p>
    <w:p w14:paraId="06517D40" w14:textId="77777777" w:rsidR="00516BDC" w:rsidRPr="00E12F09" w:rsidRDefault="00516BDC" w:rsidP="00CB45F4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B54B" w14:textId="77777777" w:rsidR="00734AEB" w:rsidRDefault="00734AEB" w:rsidP="00D603FA">
      <w:pPr>
        <w:spacing w:after="0" w:line="240" w:lineRule="auto"/>
      </w:pPr>
      <w:r>
        <w:separator/>
      </w:r>
    </w:p>
  </w:endnote>
  <w:endnote w:type="continuationSeparator" w:id="0">
    <w:p w14:paraId="4AFFC12C" w14:textId="77777777" w:rsidR="00734AEB" w:rsidRDefault="00734AEB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734AEB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5A51" w14:textId="77777777" w:rsidR="00734AEB" w:rsidRDefault="00734AEB" w:rsidP="00D603FA">
      <w:pPr>
        <w:spacing w:after="0" w:line="240" w:lineRule="auto"/>
      </w:pPr>
      <w:r>
        <w:separator/>
      </w:r>
    </w:p>
  </w:footnote>
  <w:footnote w:type="continuationSeparator" w:id="0">
    <w:p w14:paraId="3C60370F" w14:textId="77777777" w:rsidR="00734AEB" w:rsidRDefault="00734AEB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734AEB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2"/>
  </w:num>
  <w:num w:numId="2" w16cid:durableId="955215461">
    <w:abstractNumId w:val="3"/>
  </w:num>
  <w:num w:numId="3" w16cid:durableId="1751076289">
    <w:abstractNumId w:val="4"/>
  </w:num>
  <w:num w:numId="4" w16cid:durableId="134489697">
    <w:abstractNumId w:val="1"/>
  </w:num>
  <w:num w:numId="5" w16cid:durableId="1690908874">
    <w:abstractNumId w:val="0"/>
  </w:num>
  <w:num w:numId="6" w16cid:durableId="1196775449">
    <w:abstractNumId w:val="6"/>
  </w:num>
  <w:num w:numId="7" w16cid:durableId="1649556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712D4"/>
    <w:rsid w:val="00072C66"/>
    <w:rsid w:val="000B1F89"/>
    <w:rsid w:val="000E6DDB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2AEB"/>
    <w:rsid w:val="002E4789"/>
    <w:rsid w:val="002E7BA5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E1575"/>
    <w:rsid w:val="00516BDC"/>
    <w:rsid w:val="00556A68"/>
    <w:rsid w:val="0057347B"/>
    <w:rsid w:val="00575F67"/>
    <w:rsid w:val="00592045"/>
    <w:rsid w:val="005D684D"/>
    <w:rsid w:val="006300BD"/>
    <w:rsid w:val="00634CAB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34AEB"/>
    <w:rsid w:val="00740859"/>
    <w:rsid w:val="00740B5E"/>
    <w:rsid w:val="00756262"/>
    <w:rsid w:val="007724DB"/>
    <w:rsid w:val="00792754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7055C"/>
    <w:rsid w:val="00972A17"/>
    <w:rsid w:val="009A2B09"/>
    <w:rsid w:val="009D46F8"/>
    <w:rsid w:val="00A6107D"/>
    <w:rsid w:val="00A93FA3"/>
    <w:rsid w:val="00AA5161"/>
    <w:rsid w:val="00AB023A"/>
    <w:rsid w:val="00AC4436"/>
    <w:rsid w:val="00B021DF"/>
    <w:rsid w:val="00B45F76"/>
    <w:rsid w:val="00B915E8"/>
    <w:rsid w:val="00BA6346"/>
    <w:rsid w:val="00BB6EE4"/>
    <w:rsid w:val="00BC50C7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B45F4"/>
    <w:rsid w:val="00CF0DE0"/>
    <w:rsid w:val="00D033C5"/>
    <w:rsid w:val="00D10C9A"/>
    <w:rsid w:val="00D252C3"/>
    <w:rsid w:val="00D335A8"/>
    <w:rsid w:val="00D506A7"/>
    <w:rsid w:val="00D603FA"/>
    <w:rsid w:val="00D66436"/>
    <w:rsid w:val="00DC0D5A"/>
    <w:rsid w:val="00DC5B07"/>
    <w:rsid w:val="00DE1CD2"/>
    <w:rsid w:val="00E12F09"/>
    <w:rsid w:val="00E13788"/>
    <w:rsid w:val="00E3412F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8</cp:revision>
  <cp:lastPrinted>2025-05-27T13:14:00Z</cp:lastPrinted>
  <dcterms:created xsi:type="dcterms:W3CDTF">2025-12-31T09:55:00Z</dcterms:created>
  <dcterms:modified xsi:type="dcterms:W3CDTF">2026-02-02T12:08:00Z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